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028" w:rsidRPr="00931937" w:rsidRDefault="00035028" w:rsidP="00035028">
      <w:pPr>
        <w:jc w:val="center"/>
        <w:rPr>
          <w:rFonts w:cs="Arial"/>
          <w:b/>
          <w:bCs/>
          <w:sz w:val="22"/>
          <w:szCs w:val="22"/>
        </w:rPr>
      </w:pPr>
      <w:r w:rsidRPr="00931937">
        <w:rPr>
          <w:rFonts w:cs="Arial"/>
          <w:b/>
          <w:bCs/>
          <w:sz w:val="22"/>
          <w:szCs w:val="22"/>
        </w:rPr>
        <w:t>RESOLUCIÓN NÚMERO ___________ de Fecha ____________</w:t>
      </w:r>
    </w:p>
    <w:p w:rsidR="00035028" w:rsidRDefault="00035028" w:rsidP="00035028">
      <w:pPr>
        <w:jc w:val="center"/>
        <w:rPr>
          <w:rFonts w:cs="Arial"/>
          <w:sz w:val="22"/>
          <w:szCs w:val="22"/>
        </w:rPr>
      </w:pPr>
    </w:p>
    <w:p w:rsidR="00035028" w:rsidRPr="00931937" w:rsidRDefault="00035028" w:rsidP="00035028">
      <w:pPr>
        <w:jc w:val="center"/>
        <w:rPr>
          <w:rFonts w:cs="Arial"/>
          <w:sz w:val="22"/>
          <w:szCs w:val="22"/>
        </w:rPr>
      </w:pPr>
    </w:p>
    <w:p w:rsidR="00035028" w:rsidRPr="00931937" w:rsidRDefault="00035028" w:rsidP="00035028">
      <w:pPr>
        <w:jc w:val="center"/>
        <w:rPr>
          <w:rFonts w:cs="Arial"/>
          <w:sz w:val="22"/>
          <w:szCs w:val="22"/>
        </w:rPr>
      </w:pPr>
      <w:bookmarkStart w:id="0" w:name="_Hlk189738040"/>
      <w:bookmarkStart w:id="1" w:name="_Hlk201502928"/>
      <w:bookmarkStart w:id="2" w:name="_Hlk199316646"/>
      <w:r w:rsidRPr="00072C5E">
        <w:rPr>
          <w:rFonts w:cs="Arial"/>
          <w:sz w:val="22"/>
          <w:szCs w:val="22"/>
        </w:rPr>
        <w:t xml:space="preserve">Por la cual se Revoca la Resolución No. </w:t>
      </w:r>
      <w:r w:rsidR="00626D46">
        <w:rPr>
          <w:rFonts w:cs="Arial"/>
          <w:sz w:val="22"/>
          <w:szCs w:val="22"/>
        </w:rPr>
        <w:t>261 del 31</w:t>
      </w:r>
      <w:r w:rsidR="00223E4E">
        <w:rPr>
          <w:rFonts w:cs="Arial"/>
          <w:sz w:val="22"/>
          <w:szCs w:val="22"/>
        </w:rPr>
        <w:t xml:space="preserve"> </w:t>
      </w:r>
      <w:r>
        <w:rPr>
          <w:rFonts w:cs="Arial"/>
          <w:sz w:val="22"/>
          <w:szCs w:val="22"/>
        </w:rPr>
        <w:t>de enero de 2022</w:t>
      </w:r>
      <w:r w:rsidRPr="00072C5E">
        <w:rPr>
          <w:rFonts w:cs="Arial"/>
          <w:sz w:val="22"/>
          <w:szCs w:val="22"/>
        </w:rPr>
        <w:t xml:space="preserve"> proferida por la Subdirección de Inspección, Vigilancia y Control de Servicios de Salud, dentro de la Investigación Administrativa No. </w:t>
      </w:r>
      <w:bookmarkEnd w:id="0"/>
      <w:bookmarkEnd w:id="1"/>
      <w:r>
        <w:rPr>
          <w:rFonts w:cs="Arial"/>
          <w:sz w:val="22"/>
          <w:szCs w:val="22"/>
        </w:rPr>
        <w:t>258-2021</w:t>
      </w:r>
      <w:r w:rsidRPr="00072C5E">
        <w:rPr>
          <w:rFonts w:cs="Arial"/>
          <w:sz w:val="22"/>
          <w:szCs w:val="22"/>
        </w:rPr>
        <w:t>.</w:t>
      </w:r>
      <w:r w:rsidRPr="00931937">
        <w:rPr>
          <w:rFonts w:cs="Arial"/>
          <w:sz w:val="22"/>
          <w:szCs w:val="22"/>
        </w:rPr>
        <w:t xml:space="preserve"> </w:t>
      </w:r>
      <w:r>
        <w:rPr>
          <w:rFonts w:cs="Arial"/>
          <w:sz w:val="22"/>
          <w:szCs w:val="22"/>
        </w:rPr>
        <w:t xml:space="preserve"> </w:t>
      </w:r>
      <w:r w:rsidRPr="00931937">
        <w:rPr>
          <w:rFonts w:cs="Arial"/>
          <w:sz w:val="22"/>
          <w:szCs w:val="22"/>
        </w:rPr>
        <w:t xml:space="preserve"> </w:t>
      </w:r>
      <w:r>
        <w:rPr>
          <w:rFonts w:cs="Arial"/>
          <w:sz w:val="22"/>
          <w:szCs w:val="22"/>
        </w:rPr>
        <w:t xml:space="preserve">  </w:t>
      </w:r>
    </w:p>
    <w:bookmarkEnd w:id="2"/>
    <w:p w:rsidR="00035028" w:rsidRPr="00931937" w:rsidRDefault="00035028" w:rsidP="00035028">
      <w:pPr>
        <w:jc w:val="center"/>
        <w:rPr>
          <w:rFonts w:cs="Arial"/>
          <w:sz w:val="22"/>
          <w:szCs w:val="22"/>
        </w:rPr>
      </w:pPr>
      <w:r>
        <w:rPr>
          <w:rFonts w:cs="Arial"/>
          <w:sz w:val="22"/>
          <w:szCs w:val="22"/>
        </w:rPr>
        <w:t xml:space="preserve"> </w:t>
      </w:r>
    </w:p>
    <w:p w:rsidR="00035028" w:rsidRDefault="00035028" w:rsidP="00035028">
      <w:pPr>
        <w:jc w:val="center"/>
        <w:rPr>
          <w:rFonts w:cs="Arial"/>
          <w:b/>
          <w:bCs/>
          <w:sz w:val="22"/>
          <w:szCs w:val="22"/>
        </w:rPr>
      </w:pPr>
    </w:p>
    <w:p w:rsidR="00035028" w:rsidRPr="00931937" w:rsidRDefault="00035028" w:rsidP="00035028">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rsidR="00035028" w:rsidRPr="00931937" w:rsidRDefault="00035028" w:rsidP="00035028">
      <w:pPr>
        <w:jc w:val="center"/>
        <w:rPr>
          <w:rFonts w:cs="Arial"/>
          <w:b/>
          <w:sz w:val="22"/>
          <w:szCs w:val="22"/>
        </w:rPr>
      </w:pPr>
    </w:p>
    <w:p w:rsidR="00035028" w:rsidRPr="00FF5422" w:rsidRDefault="00035028" w:rsidP="00035028">
      <w:pPr>
        <w:jc w:val="both"/>
        <w:rPr>
          <w:rFonts w:cs="Arial"/>
          <w:sz w:val="16"/>
          <w:szCs w:val="22"/>
        </w:rPr>
      </w:pPr>
    </w:p>
    <w:p w:rsidR="00035028" w:rsidRPr="00931937" w:rsidRDefault="00035028" w:rsidP="00035028">
      <w:pPr>
        <w:jc w:val="both"/>
        <w:rPr>
          <w:rFonts w:cs="Arial"/>
          <w:sz w:val="22"/>
          <w:szCs w:val="22"/>
        </w:rPr>
      </w:pPr>
      <w:r w:rsidRPr="00931937">
        <w:rPr>
          <w:rFonts w:cs="Arial"/>
          <w:sz w:val="22"/>
          <w:szCs w:val="22"/>
        </w:rPr>
        <w:t>En ejercicio de las facultades legales y reglamentarias y, en especial, las conferidas en el numeral 7 del artículo 3 del Decreto 507 del 06 de noviembre de 2013, y en concordancia con el artículo 93 del Código de Procedimiento Administrativo y de lo Contencioso Administrativo, y</w:t>
      </w:r>
    </w:p>
    <w:p w:rsidR="00035028" w:rsidRDefault="00035028" w:rsidP="00035028">
      <w:pPr>
        <w:widowControl w:val="0"/>
        <w:rPr>
          <w:rFonts w:cs="Arial"/>
          <w:sz w:val="22"/>
          <w:szCs w:val="22"/>
        </w:rPr>
      </w:pPr>
    </w:p>
    <w:p w:rsidR="00035028" w:rsidRPr="00FF5422" w:rsidRDefault="00035028" w:rsidP="00035028">
      <w:pPr>
        <w:widowControl w:val="0"/>
        <w:rPr>
          <w:rFonts w:cs="Arial"/>
          <w:sz w:val="18"/>
          <w:szCs w:val="22"/>
        </w:rPr>
      </w:pPr>
    </w:p>
    <w:p w:rsidR="00035028" w:rsidRDefault="00035028" w:rsidP="00035028">
      <w:pPr>
        <w:widowControl w:val="0"/>
        <w:jc w:val="center"/>
        <w:rPr>
          <w:rFonts w:cs="Arial"/>
          <w:b/>
          <w:bCs/>
          <w:sz w:val="22"/>
          <w:szCs w:val="22"/>
        </w:rPr>
      </w:pPr>
      <w:r w:rsidRPr="00931937">
        <w:rPr>
          <w:rFonts w:cs="Arial"/>
          <w:b/>
          <w:bCs/>
          <w:sz w:val="22"/>
          <w:szCs w:val="22"/>
        </w:rPr>
        <w:t>CONSIDERANDO:</w:t>
      </w:r>
      <w:r>
        <w:rPr>
          <w:rFonts w:cs="Arial"/>
          <w:b/>
          <w:bCs/>
          <w:sz w:val="22"/>
          <w:szCs w:val="22"/>
        </w:rPr>
        <w:t xml:space="preserve"> </w:t>
      </w:r>
    </w:p>
    <w:p w:rsidR="00035028" w:rsidRDefault="00035028" w:rsidP="00035028">
      <w:pPr>
        <w:widowControl w:val="0"/>
        <w:jc w:val="center"/>
        <w:rPr>
          <w:rFonts w:cs="Arial"/>
          <w:b/>
          <w:bCs/>
          <w:sz w:val="22"/>
          <w:szCs w:val="22"/>
        </w:rPr>
      </w:pPr>
    </w:p>
    <w:p w:rsidR="00035028" w:rsidRDefault="00035028" w:rsidP="00035028">
      <w:pPr>
        <w:widowControl w:val="0"/>
        <w:jc w:val="both"/>
        <w:rPr>
          <w:rFonts w:cs="Arial"/>
          <w:sz w:val="22"/>
          <w:szCs w:val="22"/>
        </w:rPr>
      </w:pPr>
      <w:r w:rsidRPr="00E167AA">
        <w:rPr>
          <w:rFonts w:cs="Arial"/>
          <w:sz w:val="22"/>
          <w:szCs w:val="22"/>
        </w:rPr>
        <w:t>Que, la Subdirección Inspección, Vigilancia y Control de Servicio</w:t>
      </w:r>
      <w:r>
        <w:rPr>
          <w:rFonts w:cs="Arial"/>
          <w:sz w:val="22"/>
          <w:szCs w:val="22"/>
        </w:rPr>
        <w:t>s</w:t>
      </w:r>
      <w:r w:rsidRPr="00E167AA">
        <w:rPr>
          <w:rFonts w:cs="Arial"/>
          <w:sz w:val="22"/>
          <w:szCs w:val="22"/>
        </w:rPr>
        <w:t xml:space="preserve"> de Salud de la SDS, dispuso adelantar la investigación administrativa </w:t>
      </w:r>
      <w:r>
        <w:rPr>
          <w:rFonts w:cs="Arial"/>
          <w:sz w:val="22"/>
          <w:szCs w:val="22"/>
        </w:rPr>
        <w:t>sancionatoria No. 258-2021</w:t>
      </w:r>
      <w:r w:rsidRPr="00E167AA">
        <w:rPr>
          <w:rFonts w:cs="Arial"/>
          <w:sz w:val="22"/>
          <w:szCs w:val="22"/>
        </w:rPr>
        <w:t xml:space="preserve">, </w:t>
      </w:r>
      <w:r>
        <w:rPr>
          <w:rFonts w:cs="Arial"/>
          <w:sz w:val="22"/>
          <w:szCs w:val="22"/>
        </w:rPr>
        <w:t>e</w:t>
      </w:r>
      <w:r w:rsidRPr="00E167AA">
        <w:rPr>
          <w:rFonts w:cs="Arial"/>
          <w:sz w:val="22"/>
          <w:szCs w:val="22"/>
        </w:rPr>
        <w:t xml:space="preserve">n contra </w:t>
      </w:r>
      <w:r w:rsidR="00626D46">
        <w:rPr>
          <w:rFonts w:cs="Arial"/>
          <w:sz w:val="22"/>
          <w:szCs w:val="22"/>
        </w:rPr>
        <w:t>de la sociedad TRAFALGAR HOLDINGS DE COLOMBIA SAS / BODYBRITE EL LAGO identificado con NIT. 901.303.792-4 sin código de prestador</w:t>
      </w:r>
      <w:r>
        <w:rPr>
          <w:rFonts w:cs="Arial"/>
          <w:sz w:val="22"/>
          <w:szCs w:val="22"/>
        </w:rPr>
        <w:t xml:space="preserve">, </w:t>
      </w:r>
      <w:r w:rsidR="00626D46">
        <w:rPr>
          <w:rFonts w:cs="Arial"/>
          <w:sz w:val="22"/>
          <w:szCs w:val="22"/>
        </w:rPr>
        <w:t xml:space="preserve">ubicado para el momento de los hechos </w:t>
      </w:r>
      <w:r>
        <w:rPr>
          <w:rFonts w:cs="Arial"/>
          <w:sz w:val="22"/>
          <w:szCs w:val="22"/>
        </w:rPr>
        <w:t xml:space="preserve">en la Carrera 14 No. 79 -62 Local 202 </w:t>
      </w:r>
      <w:r w:rsidRPr="00E167AA">
        <w:rPr>
          <w:rFonts w:cs="Arial"/>
          <w:sz w:val="22"/>
          <w:szCs w:val="22"/>
        </w:rPr>
        <w:t>de la nomenclatura urbana de la ciudad de Bogotá D.C.</w:t>
      </w:r>
      <w:r>
        <w:rPr>
          <w:rFonts w:cs="Arial"/>
          <w:sz w:val="22"/>
          <w:szCs w:val="22"/>
        </w:rPr>
        <w:t xml:space="preserve"> </w:t>
      </w:r>
    </w:p>
    <w:p w:rsidR="00626D46" w:rsidRDefault="00626D46" w:rsidP="00035028">
      <w:pPr>
        <w:widowControl w:val="0"/>
        <w:jc w:val="both"/>
        <w:rPr>
          <w:rFonts w:cs="Arial"/>
          <w:sz w:val="22"/>
          <w:szCs w:val="22"/>
        </w:rPr>
      </w:pPr>
    </w:p>
    <w:p w:rsidR="00035028" w:rsidRDefault="00035028" w:rsidP="00035028">
      <w:pPr>
        <w:widowControl w:val="0"/>
        <w:jc w:val="both"/>
        <w:rPr>
          <w:rFonts w:cs="Arial"/>
          <w:sz w:val="22"/>
          <w:szCs w:val="22"/>
        </w:rPr>
      </w:pPr>
      <w:r w:rsidRPr="00931937">
        <w:rPr>
          <w:rFonts w:cs="Arial"/>
          <w:sz w:val="22"/>
          <w:szCs w:val="22"/>
        </w:rPr>
        <w:t xml:space="preserve">Que mediante Auto No. </w:t>
      </w:r>
      <w:r>
        <w:rPr>
          <w:rFonts w:cs="Arial"/>
          <w:sz w:val="22"/>
          <w:szCs w:val="22"/>
        </w:rPr>
        <w:t>3647 del 5 de agosto de 2021</w:t>
      </w:r>
      <w:r w:rsidRPr="00931937">
        <w:rPr>
          <w:rFonts w:cs="Arial"/>
          <w:sz w:val="22"/>
          <w:szCs w:val="22"/>
        </w:rPr>
        <w:t>, la Subdirección Inspección, Vigilancia y Control de Servicio</w:t>
      </w:r>
      <w:r>
        <w:rPr>
          <w:rFonts w:cs="Arial"/>
          <w:sz w:val="22"/>
          <w:szCs w:val="22"/>
        </w:rPr>
        <w:t>s</w:t>
      </w:r>
      <w:r w:rsidRPr="00931937">
        <w:rPr>
          <w:rFonts w:cs="Arial"/>
          <w:sz w:val="22"/>
          <w:szCs w:val="22"/>
        </w:rPr>
        <w:t xml:space="preserve"> de Salud de la SDS, formuló pliego de cargos en contra</w:t>
      </w:r>
      <w:r w:rsidR="00223E4E">
        <w:rPr>
          <w:rFonts w:cs="Arial"/>
          <w:sz w:val="22"/>
          <w:szCs w:val="22"/>
        </w:rPr>
        <w:t xml:space="preserve"> de la sociedad</w:t>
      </w:r>
      <w:r w:rsidRPr="00931937">
        <w:rPr>
          <w:rFonts w:cs="Arial"/>
          <w:sz w:val="22"/>
          <w:szCs w:val="22"/>
        </w:rPr>
        <w:t xml:space="preserve"> </w:t>
      </w:r>
      <w:r w:rsidR="00626D46">
        <w:rPr>
          <w:rFonts w:cs="Arial"/>
          <w:sz w:val="22"/>
          <w:szCs w:val="22"/>
        </w:rPr>
        <w:t>TRAFALGAR HOLDINGS DE COLOMBIA SAS / BODYBRITE EL LAGO identificado con NIT. 901.303.792-4 sin código de prestador</w:t>
      </w:r>
      <w:r>
        <w:rPr>
          <w:rFonts w:cs="Arial"/>
          <w:sz w:val="22"/>
          <w:szCs w:val="22"/>
        </w:rPr>
        <w:t>,</w:t>
      </w:r>
      <w:r w:rsidRPr="00931937">
        <w:rPr>
          <w:rFonts w:cs="Arial"/>
          <w:sz w:val="22"/>
          <w:szCs w:val="22"/>
        </w:rPr>
        <w:t xml:space="preserve"> al presuntamente </w:t>
      </w:r>
      <w:r>
        <w:rPr>
          <w:rFonts w:cs="Arial"/>
          <w:sz w:val="22"/>
          <w:szCs w:val="22"/>
        </w:rPr>
        <w:t>incumplir la</w:t>
      </w:r>
      <w:r w:rsidRPr="00931937">
        <w:rPr>
          <w:rFonts w:cs="Arial"/>
          <w:sz w:val="22"/>
          <w:szCs w:val="22"/>
        </w:rPr>
        <w:t xml:space="preserve"> normativa descrita en </w:t>
      </w:r>
      <w:r>
        <w:rPr>
          <w:rFonts w:cs="Arial"/>
          <w:sz w:val="22"/>
          <w:szCs w:val="22"/>
        </w:rPr>
        <w:t>el</w:t>
      </w:r>
      <w:r w:rsidRPr="00931937">
        <w:rPr>
          <w:rFonts w:cs="Arial"/>
          <w:sz w:val="22"/>
          <w:szCs w:val="22"/>
        </w:rPr>
        <w:t xml:space="preserve"> referid</w:t>
      </w:r>
      <w:r>
        <w:rPr>
          <w:rFonts w:cs="Arial"/>
          <w:sz w:val="22"/>
          <w:szCs w:val="22"/>
        </w:rPr>
        <w:t>o</w:t>
      </w:r>
      <w:r w:rsidRPr="00931937">
        <w:rPr>
          <w:rFonts w:cs="Arial"/>
          <w:sz w:val="22"/>
          <w:szCs w:val="22"/>
        </w:rPr>
        <w:t xml:space="preserve"> </w:t>
      </w:r>
      <w:r>
        <w:rPr>
          <w:rFonts w:cs="Arial"/>
          <w:sz w:val="22"/>
          <w:szCs w:val="22"/>
        </w:rPr>
        <w:t xml:space="preserve">acto.  </w:t>
      </w:r>
    </w:p>
    <w:p w:rsidR="00035028" w:rsidRDefault="00035028" w:rsidP="00035028">
      <w:pPr>
        <w:widowControl w:val="0"/>
        <w:jc w:val="both"/>
        <w:rPr>
          <w:rFonts w:cs="Arial"/>
          <w:sz w:val="22"/>
          <w:szCs w:val="22"/>
        </w:rPr>
      </w:pPr>
    </w:p>
    <w:p w:rsidR="00035028" w:rsidRDefault="00035028" w:rsidP="00035028">
      <w:pPr>
        <w:jc w:val="both"/>
        <w:rPr>
          <w:rFonts w:cs="Arial"/>
          <w:sz w:val="22"/>
          <w:szCs w:val="22"/>
        </w:rPr>
      </w:pPr>
      <w:r w:rsidRPr="00A25F41">
        <w:rPr>
          <w:rFonts w:cs="Arial"/>
          <w:sz w:val="22"/>
          <w:szCs w:val="22"/>
        </w:rPr>
        <w:t xml:space="preserve">El citado auto contentivo de Pliego de Cargos fue notificado a la investigada de forma electrónica mediante oficio No. </w:t>
      </w:r>
      <w:r>
        <w:rPr>
          <w:rFonts w:cs="Arial"/>
          <w:sz w:val="22"/>
          <w:szCs w:val="22"/>
        </w:rPr>
        <w:t>2021-EE-</w:t>
      </w:r>
      <w:r w:rsidR="00223E4E">
        <w:rPr>
          <w:rFonts w:cs="Arial"/>
          <w:sz w:val="22"/>
          <w:szCs w:val="22"/>
        </w:rPr>
        <w:t>77381</w:t>
      </w:r>
      <w:r>
        <w:rPr>
          <w:rFonts w:cs="Arial"/>
          <w:sz w:val="22"/>
          <w:szCs w:val="22"/>
        </w:rPr>
        <w:t xml:space="preserve"> del 19 de agosto de 2021</w:t>
      </w:r>
      <w:r w:rsidRPr="00A25F41">
        <w:rPr>
          <w:rFonts w:cs="Arial"/>
          <w:sz w:val="22"/>
          <w:szCs w:val="22"/>
        </w:rPr>
        <w:t xml:space="preserve">, con su correspondiente soporte de recibido certificado el </w:t>
      </w:r>
      <w:r>
        <w:rPr>
          <w:rFonts w:cs="Arial"/>
          <w:sz w:val="22"/>
          <w:szCs w:val="22"/>
        </w:rPr>
        <w:t>día 20 de agosto de la misma anualidad</w:t>
      </w:r>
      <w:r w:rsidRPr="00A25F41">
        <w:rPr>
          <w:rFonts w:cs="Arial"/>
          <w:sz w:val="22"/>
          <w:szCs w:val="22"/>
        </w:rPr>
        <w:t xml:space="preserve">. (Folios </w:t>
      </w:r>
      <w:r w:rsidR="00223E4E">
        <w:rPr>
          <w:rFonts w:cs="Arial"/>
          <w:sz w:val="22"/>
          <w:szCs w:val="22"/>
        </w:rPr>
        <w:t>50</w:t>
      </w:r>
      <w:r w:rsidRPr="00A25F41">
        <w:rPr>
          <w:rFonts w:cs="Arial"/>
          <w:sz w:val="22"/>
          <w:szCs w:val="22"/>
        </w:rPr>
        <w:t xml:space="preserve"> y ss)</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p>
    <w:p w:rsidR="00035028" w:rsidRDefault="00035028" w:rsidP="00035028">
      <w:pPr>
        <w:jc w:val="both"/>
        <w:rPr>
          <w:rFonts w:cs="Arial"/>
          <w:sz w:val="22"/>
          <w:szCs w:val="22"/>
        </w:rPr>
      </w:pPr>
    </w:p>
    <w:p w:rsidR="00035028" w:rsidRPr="00931937" w:rsidRDefault="00035028" w:rsidP="00035028">
      <w:pPr>
        <w:widowControl w:val="0"/>
        <w:jc w:val="both"/>
        <w:rPr>
          <w:rFonts w:cs="Arial"/>
          <w:sz w:val="22"/>
          <w:szCs w:val="22"/>
        </w:rPr>
      </w:pPr>
      <w:r w:rsidRPr="00314A67">
        <w:rPr>
          <w:rFonts w:cs="Arial"/>
          <w:bCs/>
          <w:sz w:val="22"/>
          <w:szCs w:val="22"/>
        </w:rPr>
        <w:t xml:space="preserve">Que </w:t>
      </w:r>
      <w:r w:rsidRPr="00D2174D">
        <w:rPr>
          <w:rFonts w:cs="Arial"/>
          <w:bCs/>
          <w:sz w:val="22"/>
          <w:szCs w:val="22"/>
        </w:rPr>
        <w:t>Mediante Resolución</w:t>
      </w:r>
      <w:r w:rsidRPr="00931937">
        <w:rPr>
          <w:rFonts w:cs="Arial"/>
          <w:bCs/>
          <w:sz w:val="22"/>
          <w:szCs w:val="22"/>
        </w:rPr>
        <w:t xml:space="preserve"> No. </w:t>
      </w:r>
      <w:r w:rsidR="00626D46">
        <w:rPr>
          <w:rFonts w:cs="Arial"/>
          <w:sz w:val="22"/>
          <w:szCs w:val="22"/>
        </w:rPr>
        <w:t>261 del 31</w:t>
      </w:r>
      <w:r w:rsidR="00223E4E">
        <w:rPr>
          <w:rFonts w:cs="Arial"/>
          <w:sz w:val="22"/>
          <w:szCs w:val="22"/>
        </w:rPr>
        <w:t xml:space="preserve"> </w:t>
      </w:r>
      <w:r>
        <w:rPr>
          <w:rFonts w:cs="Arial"/>
          <w:sz w:val="22"/>
          <w:szCs w:val="22"/>
        </w:rPr>
        <w:t>de enero de 2022</w:t>
      </w:r>
      <w:r w:rsidRPr="00931937">
        <w:rPr>
          <w:rFonts w:cs="Arial"/>
          <w:sz w:val="22"/>
          <w:szCs w:val="22"/>
        </w:rPr>
        <w:t>, la Subdirección de Inspección, Vigilancia y Control de Servicios de Salud de la SDS,</w:t>
      </w:r>
      <w:r w:rsidRPr="00931937">
        <w:rPr>
          <w:rFonts w:cs="Arial"/>
          <w:bCs/>
          <w:sz w:val="22"/>
          <w:szCs w:val="22"/>
        </w:rPr>
        <w:t xml:space="preserve"> impuso a </w:t>
      </w:r>
      <w:r>
        <w:rPr>
          <w:rFonts w:cs="Arial"/>
          <w:bCs/>
          <w:sz w:val="22"/>
          <w:szCs w:val="22"/>
        </w:rPr>
        <w:t xml:space="preserve">la </w:t>
      </w:r>
      <w:r w:rsidR="00DB45F2">
        <w:rPr>
          <w:rFonts w:cs="Arial"/>
          <w:sz w:val="22"/>
          <w:szCs w:val="22"/>
        </w:rPr>
        <w:t>sociedad</w:t>
      </w:r>
      <w:r w:rsidR="00DB45F2" w:rsidRPr="00931937">
        <w:rPr>
          <w:rFonts w:cs="Arial"/>
          <w:sz w:val="22"/>
          <w:szCs w:val="22"/>
        </w:rPr>
        <w:t xml:space="preserve"> </w:t>
      </w:r>
      <w:r w:rsidR="00DB45F2">
        <w:rPr>
          <w:rFonts w:cs="Arial"/>
          <w:sz w:val="22"/>
          <w:szCs w:val="22"/>
        </w:rPr>
        <w:t>TRAFALGAR HOLDINGS DE COLOMBIA SAS / BODYBRITE EL LAGO identificado con NIT. 901.303.792-4 sin código de prestador</w:t>
      </w:r>
      <w:r w:rsidRPr="00931937">
        <w:rPr>
          <w:rFonts w:cs="Arial"/>
          <w:sz w:val="22"/>
          <w:szCs w:val="22"/>
        </w:rPr>
        <w:t>,</w:t>
      </w:r>
      <w:r w:rsidRPr="00931937">
        <w:rPr>
          <w:rFonts w:cs="Arial"/>
          <w:bCs/>
          <w:sz w:val="22"/>
          <w:szCs w:val="22"/>
        </w:rPr>
        <w:t xml:space="preserve"> sanción consistente en multa </w:t>
      </w:r>
      <w:r w:rsidRPr="00931937">
        <w:rPr>
          <w:rFonts w:cs="Arial"/>
          <w:sz w:val="22"/>
          <w:szCs w:val="22"/>
        </w:rPr>
        <w:t xml:space="preserve">de </w:t>
      </w:r>
      <w:r w:rsidR="00DB45F2">
        <w:rPr>
          <w:rFonts w:cs="Arial"/>
          <w:sz w:val="22"/>
          <w:szCs w:val="22"/>
        </w:rPr>
        <w:t>dos (2)</w:t>
      </w:r>
      <w:r>
        <w:rPr>
          <w:rFonts w:cs="Arial"/>
          <w:sz w:val="22"/>
          <w:szCs w:val="22"/>
        </w:rPr>
        <w:t xml:space="preserve"> salarios </w:t>
      </w:r>
      <w:r w:rsidRPr="00931937">
        <w:rPr>
          <w:rFonts w:cs="Arial"/>
          <w:sz w:val="22"/>
          <w:szCs w:val="22"/>
        </w:rPr>
        <w:t>mínimos legales mensuales vigentes para el año 202</w:t>
      </w:r>
      <w:r>
        <w:rPr>
          <w:rFonts w:cs="Arial"/>
          <w:sz w:val="22"/>
          <w:szCs w:val="22"/>
        </w:rPr>
        <w:t>2</w:t>
      </w:r>
      <w:r w:rsidRPr="00931937">
        <w:rPr>
          <w:rFonts w:cs="Arial"/>
          <w:sz w:val="22"/>
          <w:szCs w:val="22"/>
        </w:rPr>
        <w:t xml:space="preserve">, equivalentes a la suma de </w:t>
      </w:r>
      <w:r w:rsidR="00DB45F2">
        <w:rPr>
          <w:rFonts w:cs="Arial"/>
          <w:sz w:val="22"/>
          <w:szCs w:val="22"/>
        </w:rPr>
        <w:t>DOS</w:t>
      </w:r>
      <w:r>
        <w:rPr>
          <w:rFonts w:cs="Arial"/>
          <w:sz w:val="22"/>
          <w:szCs w:val="22"/>
        </w:rPr>
        <w:t xml:space="preserve"> MILLONES DE </w:t>
      </w:r>
      <w:r w:rsidRPr="00931937">
        <w:rPr>
          <w:rFonts w:cs="Arial"/>
          <w:sz w:val="22"/>
          <w:szCs w:val="22"/>
        </w:rPr>
        <w:t xml:space="preserve">PESOS </w:t>
      </w:r>
      <w:r w:rsidRPr="00C05D68">
        <w:rPr>
          <w:rFonts w:cs="Arial"/>
          <w:sz w:val="22"/>
          <w:szCs w:val="22"/>
        </w:rPr>
        <w:t>M</w:t>
      </w:r>
      <w:r>
        <w:rPr>
          <w:rFonts w:cs="Arial"/>
          <w:sz w:val="22"/>
          <w:szCs w:val="22"/>
        </w:rPr>
        <w:t>/</w:t>
      </w:r>
      <w:r w:rsidRPr="00C05D68">
        <w:rPr>
          <w:rFonts w:cs="Arial"/>
          <w:sz w:val="22"/>
          <w:szCs w:val="22"/>
        </w:rPr>
        <w:t>CTE</w:t>
      </w:r>
      <w:r w:rsidRPr="00931937">
        <w:rPr>
          <w:rFonts w:cs="Arial"/>
          <w:sz w:val="22"/>
          <w:szCs w:val="22"/>
        </w:rPr>
        <w:t xml:space="preserve"> ($</w:t>
      </w:r>
      <w:r w:rsidR="00DB45F2">
        <w:rPr>
          <w:rFonts w:cs="Arial"/>
          <w:sz w:val="22"/>
          <w:szCs w:val="22"/>
        </w:rPr>
        <w:t>2</w:t>
      </w:r>
      <w:r>
        <w:rPr>
          <w:rFonts w:cs="Arial"/>
          <w:sz w:val="22"/>
          <w:szCs w:val="22"/>
        </w:rPr>
        <w:t>.000.000</w:t>
      </w:r>
      <w:r w:rsidRPr="00931937">
        <w:rPr>
          <w:rFonts w:cs="Arial"/>
          <w:sz w:val="22"/>
          <w:szCs w:val="22"/>
        </w:rPr>
        <w:t xml:space="preserve">), </w:t>
      </w:r>
      <w:r w:rsidRPr="00931937">
        <w:rPr>
          <w:rFonts w:cs="Arial"/>
          <w:bCs/>
          <w:sz w:val="22"/>
          <w:szCs w:val="22"/>
        </w:rPr>
        <w:t xml:space="preserve">por encontrarse probada la infracción </w:t>
      </w:r>
      <w:r w:rsidRPr="00931937">
        <w:rPr>
          <w:rFonts w:cs="Arial"/>
          <w:sz w:val="22"/>
          <w:szCs w:val="22"/>
        </w:rPr>
        <w:t>a la normativa descrita en la referida providencia.</w:t>
      </w:r>
      <w:r>
        <w:rPr>
          <w:rFonts w:cs="Arial"/>
          <w:sz w:val="22"/>
          <w:szCs w:val="22"/>
        </w:rPr>
        <w:t xml:space="preserve">     </w:t>
      </w:r>
      <w:r w:rsidR="00DB45F2">
        <w:rPr>
          <w:rFonts w:cs="Arial"/>
          <w:sz w:val="22"/>
          <w:szCs w:val="22"/>
        </w:rPr>
        <w:t xml:space="preserve"> </w:t>
      </w:r>
      <w:r>
        <w:rPr>
          <w:rFonts w:cs="Arial"/>
          <w:sz w:val="22"/>
          <w:szCs w:val="22"/>
        </w:rPr>
        <w:t xml:space="preserve">                     </w:t>
      </w:r>
    </w:p>
    <w:p w:rsidR="00035028" w:rsidRDefault="00035028" w:rsidP="00035028">
      <w:pPr>
        <w:widowControl w:val="0"/>
        <w:jc w:val="both"/>
        <w:rPr>
          <w:rFonts w:cs="Arial"/>
          <w:sz w:val="22"/>
          <w:szCs w:val="22"/>
        </w:rPr>
      </w:pPr>
    </w:p>
    <w:p w:rsidR="00035028" w:rsidRPr="00952C38" w:rsidRDefault="00035028" w:rsidP="00035028">
      <w:pPr>
        <w:widowControl w:val="0"/>
        <w:jc w:val="both"/>
        <w:rPr>
          <w:rFonts w:cs="Arial"/>
          <w:sz w:val="22"/>
          <w:szCs w:val="22"/>
        </w:rPr>
      </w:pPr>
      <w:r w:rsidRPr="0085200A">
        <w:rPr>
          <w:rFonts w:cs="Arial"/>
          <w:sz w:val="22"/>
          <w:szCs w:val="22"/>
        </w:rPr>
        <w:t xml:space="preserve">Que, mediante comunicación allegada vía email el día </w:t>
      </w:r>
      <w:r w:rsidRPr="00952C38">
        <w:rPr>
          <w:rFonts w:cs="Arial"/>
          <w:sz w:val="22"/>
          <w:szCs w:val="22"/>
        </w:rPr>
        <w:t>2</w:t>
      </w:r>
      <w:r w:rsidR="00DB45F2">
        <w:rPr>
          <w:rFonts w:cs="Arial"/>
          <w:sz w:val="22"/>
          <w:szCs w:val="22"/>
        </w:rPr>
        <w:t>2</w:t>
      </w:r>
      <w:r w:rsidRPr="00952C38">
        <w:rPr>
          <w:rFonts w:cs="Arial"/>
          <w:sz w:val="22"/>
          <w:szCs w:val="22"/>
        </w:rPr>
        <w:t xml:space="preserve"> de febrero de 2022, obrante a folios </w:t>
      </w:r>
      <w:r w:rsidR="00DB45F2">
        <w:rPr>
          <w:rFonts w:cs="Arial"/>
          <w:sz w:val="22"/>
          <w:szCs w:val="22"/>
        </w:rPr>
        <w:t>164</w:t>
      </w:r>
      <w:r w:rsidRPr="0085200A">
        <w:rPr>
          <w:rFonts w:cs="Arial"/>
          <w:sz w:val="22"/>
          <w:szCs w:val="22"/>
        </w:rPr>
        <w:t xml:space="preserve"> y ss. del libelo en estudio, </w:t>
      </w:r>
      <w:r w:rsidR="00DB45F2">
        <w:rPr>
          <w:rFonts w:cs="Arial"/>
          <w:sz w:val="22"/>
          <w:szCs w:val="22"/>
        </w:rPr>
        <w:t>el señor Juan David Páez Santos</w:t>
      </w:r>
      <w:r w:rsidRPr="0085200A">
        <w:rPr>
          <w:rFonts w:cs="Arial"/>
          <w:sz w:val="22"/>
          <w:szCs w:val="22"/>
        </w:rPr>
        <w:t xml:space="preserve"> </w:t>
      </w:r>
      <w:r w:rsidR="00DB45F2">
        <w:rPr>
          <w:rFonts w:cs="Arial"/>
          <w:sz w:val="22"/>
          <w:szCs w:val="22"/>
        </w:rPr>
        <w:t>actuando en calidad de apoderado de la sociedad comercial</w:t>
      </w:r>
      <w:r w:rsidRPr="0085200A">
        <w:rPr>
          <w:rFonts w:cs="Arial"/>
          <w:sz w:val="22"/>
          <w:szCs w:val="22"/>
        </w:rPr>
        <w:t xml:space="preserve"> </w:t>
      </w:r>
      <w:r w:rsidR="00DB45F2">
        <w:rPr>
          <w:rFonts w:cs="Arial"/>
          <w:sz w:val="22"/>
          <w:szCs w:val="22"/>
        </w:rPr>
        <w:t>TRAFALGAR HOLDINGS DE COLOMBIA SAS</w:t>
      </w:r>
      <w:r w:rsidR="00DB45F2">
        <w:rPr>
          <w:rFonts w:cs="Arial"/>
          <w:sz w:val="22"/>
          <w:szCs w:val="22"/>
        </w:rPr>
        <w:t>,</w:t>
      </w:r>
      <w:r w:rsidR="00DB45F2" w:rsidRPr="0085200A">
        <w:rPr>
          <w:rFonts w:cs="Arial"/>
          <w:sz w:val="22"/>
          <w:szCs w:val="22"/>
        </w:rPr>
        <w:t xml:space="preserve"> </w:t>
      </w:r>
      <w:r w:rsidRPr="0085200A">
        <w:rPr>
          <w:rFonts w:cs="Arial"/>
          <w:sz w:val="22"/>
          <w:szCs w:val="22"/>
        </w:rPr>
        <w:t xml:space="preserve">presentó los recursos de reposición y en subsidio apelación, dentro del término legal y en debida forma.    </w:t>
      </w:r>
    </w:p>
    <w:p w:rsidR="00035028" w:rsidRDefault="00035028" w:rsidP="00035028">
      <w:pPr>
        <w:jc w:val="both"/>
        <w:rPr>
          <w:rFonts w:cs="Arial"/>
          <w:sz w:val="22"/>
          <w:szCs w:val="22"/>
        </w:rPr>
      </w:pPr>
      <w:r>
        <w:rPr>
          <w:rFonts w:cs="Arial"/>
          <w:sz w:val="22"/>
          <w:szCs w:val="22"/>
        </w:rPr>
        <w:t xml:space="preserve">  </w:t>
      </w:r>
    </w:p>
    <w:p w:rsidR="00035028" w:rsidRPr="00931937" w:rsidRDefault="00035028" w:rsidP="00035028">
      <w:pPr>
        <w:jc w:val="both"/>
        <w:rPr>
          <w:rFonts w:cs="Arial"/>
          <w:sz w:val="22"/>
          <w:szCs w:val="22"/>
        </w:rPr>
      </w:pPr>
      <w:r w:rsidRPr="00931937">
        <w:rPr>
          <w:rFonts w:cs="Arial"/>
          <w:sz w:val="22"/>
          <w:szCs w:val="22"/>
        </w:rPr>
        <w:lastRenderedPageBreak/>
        <w:t xml:space="preserve">Que mediante Resolución No. </w:t>
      </w:r>
      <w:r>
        <w:rPr>
          <w:rFonts w:cs="Arial"/>
          <w:sz w:val="22"/>
          <w:szCs w:val="22"/>
        </w:rPr>
        <w:t>9</w:t>
      </w:r>
      <w:r w:rsidR="00DB45F2">
        <w:rPr>
          <w:rFonts w:cs="Arial"/>
          <w:sz w:val="22"/>
          <w:szCs w:val="22"/>
        </w:rPr>
        <w:t>26</w:t>
      </w:r>
      <w:r>
        <w:rPr>
          <w:rFonts w:cs="Arial"/>
          <w:sz w:val="22"/>
          <w:szCs w:val="22"/>
        </w:rPr>
        <w:t xml:space="preserve"> </w:t>
      </w:r>
      <w:r w:rsidRPr="00931937">
        <w:rPr>
          <w:rFonts w:cs="Arial"/>
          <w:sz w:val="22"/>
          <w:szCs w:val="22"/>
        </w:rPr>
        <w:t xml:space="preserve">del </w:t>
      </w:r>
      <w:r>
        <w:rPr>
          <w:rFonts w:cs="Arial"/>
          <w:sz w:val="22"/>
          <w:szCs w:val="22"/>
        </w:rPr>
        <w:t>29 de marzo de 2022</w:t>
      </w:r>
      <w:r w:rsidR="00DB45F2">
        <w:rPr>
          <w:rFonts w:cs="Arial"/>
          <w:sz w:val="22"/>
          <w:szCs w:val="22"/>
        </w:rPr>
        <w:t>,</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Pr="00931937">
        <w:rPr>
          <w:rFonts w:cs="Arial"/>
          <w:sz w:val="22"/>
          <w:szCs w:val="22"/>
        </w:rPr>
        <w:t>resolvió el recurso de reposición decidiendo</w:t>
      </w:r>
      <w:r>
        <w:rPr>
          <w:rFonts w:cs="Arial"/>
          <w:sz w:val="22"/>
          <w:szCs w:val="22"/>
        </w:rPr>
        <w:t xml:space="preserve"> </w:t>
      </w:r>
      <w:r w:rsidRPr="00931937">
        <w:rPr>
          <w:rFonts w:cs="Arial"/>
          <w:sz w:val="22"/>
          <w:szCs w:val="22"/>
        </w:rPr>
        <w:t xml:space="preserve">No Reponer </w:t>
      </w:r>
      <w:r>
        <w:rPr>
          <w:rFonts w:cs="Arial"/>
          <w:sz w:val="22"/>
          <w:szCs w:val="22"/>
        </w:rPr>
        <w:t xml:space="preserve">y confirmando </w:t>
      </w:r>
      <w:r w:rsidRPr="00931937">
        <w:rPr>
          <w:rFonts w:cs="Arial"/>
          <w:sz w:val="22"/>
          <w:szCs w:val="22"/>
        </w:rPr>
        <w:t>el acto administrativo sancionatorio y en consecuencia concedió el recurso de alzada ante el Despacho del Secretario Distrital de Salud.</w:t>
      </w:r>
      <w:r>
        <w:rPr>
          <w:rFonts w:cs="Arial"/>
          <w:sz w:val="22"/>
          <w:szCs w:val="22"/>
        </w:rPr>
        <w:t xml:space="preserve">     </w:t>
      </w:r>
      <w:r w:rsidR="00DB45F2">
        <w:rPr>
          <w:rFonts w:cs="Arial"/>
          <w:sz w:val="22"/>
          <w:szCs w:val="22"/>
        </w:rPr>
        <w:t xml:space="preserve"> </w:t>
      </w:r>
    </w:p>
    <w:p w:rsidR="00035028" w:rsidRPr="00931937" w:rsidRDefault="00035028" w:rsidP="00035028">
      <w:pPr>
        <w:jc w:val="both"/>
        <w:rPr>
          <w:rFonts w:cs="Arial"/>
          <w:sz w:val="22"/>
          <w:szCs w:val="22"/>
        </w:rPr>
      </w:pPr>
    </w:p>
    <w:p w:rsidR="00035028" w:rsidRPr="00931937" w:rsidRDefault="00035028" w:rsidP="00035028">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Pr>
          <w:rFonts w:cs="Arial"/>
          <w:sz w:val="22"/>
          <w:szCs w:val="22"/>
        </w:rPr>
        <w:t xml:space="preserve">de apelación </w:t>
      </w:r>
      <w:r w:rsidRPr="00931937">
        <w:rPr>
          <w:rFonts w:cs="Arial"/>
          <w:sz w:val="22"/>
          <w:szCs w:val="22"/>
        </w:rPr>
        <w:t>interpuesto.</w:t>
      </w:r>
      <w:r>
        <w:rPr>
          <w:rFonts w:cs="Arial"/>
          <w:sz w:val="22"/>
          <w:szCs w:val="22"/>
        </w:rPr>
        <w:t xml:space="preserve"> </w:t>
      </w:r>
    </w:p>
    <w:p w:rsidR="00035028" w:rsidRPr="00E412C5" w:rsidRDefault="00035028" w:rsidP="00035028">
      <w:pPr>
        <w:jc w:val="both"/>
        <w:rPr>
          <w:rFonts w:cs="Arial"/>
          <w:sz w:val="20"/>
          <w:szCs w:val="20"/>
        </w:rPr>
      </w:pPr>
    </w:p>
    <w:p w:rsidR="00035028" w:rsidRPr="00931937" w:rsidRDefault="00035028" w:rsidP="00035028">
      <w:pPr>
        <w:jc w:val="center"/>
        <w:rPr>
          <w:rFonts w:cs="Arial"/>
          <w:b/>
          <w:bCs/>
          <w:sz w:val="22"/>
          <w:szCs w:val="22"/>
        </w:rPr>
      </w:pPr>
      <w:r w:rsidRPr="00B871BA">
        <w:rPr>
          <w:rFonts w:cs="Arial"/>
          <w:b/>
          <w:bCs/>
          <w:sz w:val="22"/>
          <w:szCs w:val="22"/>
        </w:rPr>
        <w:t>CONSIDERACIONES DEL DESPACHO</w:t>
      </w:r>
    </w:p>
    <w:p w:rsidR="00035028" w:rsidRPr="00931937" w:rsidRDefault="00035028" w:rsidP="00035028">
      <w:pPr>
        <w:rPr>
          <w:rFonts w:cs="Arial"/>
          <w:sz w:val="22"/>
          <w:szCs w:val="22"/>
        </w:rPr>
      </w:pPr>
    </w:p>
    <w:p w:rsidR="00035028" w:rsidRPr="00931937" w:rsidRDefault="00035028" w:rsidP="00035028">
      <w:pPr>
        <w:widowControl w:val="0"/>
        <w:jc w:val="both"/>
        <w:rPr>
          <w:rFonts w:cs="Arial"/>
          <w:sz w:val="22"/>
          <w:szCs w:val="22"/>
        </w:rPr>
      </w:pPr>
      <w:r w:rsidRPr="00931937">
        <w:rPr>
          <w:rFonts w:cs="Arial"/>
          <w:sz w:val="22"/>
          <w:szCs w:val="22"/>
        </w:rPr>
        <w:t xml:space="preserve">Conforme se evidencia en el expediente, mediante radicado </w:t>
      </w:r>
      <w:r>
        <w:rPr>
          <w:rFonts w:cs="Arial"/>
          <w:sz w:val="22"/>
          <w:szCs w:val="22"/>
        </w:rPr>
        <w:t>2021-EE-</w:t>
      </w:r>
      <w:r w:rsidR="00223E4E">
        <w:rPr>
          <w:rFonts w:cs="Arial"/>
          <w:sz w:val="22"/>
          <w:szCs w:val="22"/>
        </w:rPr>
        <w:t>77381</w:t>
      </w:r>
      <w:r>
        <w:rPr>
          <w:rFonts w:cs="Arial"/>
          <w:sz w:val="22"/>
          <w:szCs w:val="22"/>
        </w:rPr>
        <w:t xml:space="preserve"> del 19 de agosto de 2021</w:t>
      </w:r>
      <w:r w:rsidRPr="00931937">
        <w:rPr>
          <w:rFonts w:cs="Arial"/>
          <w:sz w:val="22"/>
          <w:szCs w:val="22"/>
        </w:rPr>
        <w:t>,</w:t>
      </w:r>
      <w:r>
        <w:rPr>
          <w:rFonts w:cs="Arial"/>
          <w:sz w:val="22"/>
          <w:szCs w:val="22"/>
        </w:rPr>
        <w:t xml:space="preserve"> </w:t>
      </w:r>
      <w:r w:rsidRPr="00A25F41">
        <w:rPr>
          <w:rFonts w:cs="Arial"/>
          <w:sz w:val="22"/>
          <w:szCs w:val="22"/>
        </w:rPr>
        <w:t xml:space="preserve">con su correspondiente soporte de recibido certificado </w:t>
      </w:r>
      <w:r>
        <w:rPr>
          <w:rFonts w:cs="Arial"/>
          <w:sz w:val="22"/>
          <w:szCs w:val="22"/>
        </w:rPr>
        <w:t xml:space="preserve">el día 20 de agosto de la misma anualidad, </w:t>
      </w:r>
      <w:r w:rsidRPr="00931937">
        <w:rPr>
          <w:rFonts w:cs="Arial"/>
          <w:sz w:val="22"/>
          <w:szCs w:val="22"/>
        </w:rPr>
        <w:t>la Subdirección de Inspección, Vigilancia y Control de Servicios de Salud de la Secretaría Distrital de Salud – SDS,</w:t>
      </w:r>
      <w:r>
        <w:rPr>
          <w:rFonts w:cs="Arial"/>
          <w:sz w:val="22"/>
          <w:szCs w:val="22"/>
        </w:rPr>
        <w:t xml:space="preserve"> notificó la formulación del</w:t>
      </w:r>
      <w:r w:rsidRPr="00CB4D49">
        <w:rPr>
          <w:rFonts w:cs="Arial"/>
          <w:sz w:val="22"/>
          <w:szCs w:val="22"/>
        </w:rPr>
        <w:t xml:space="preserve"> pliego de cargos dentro de la investigación administrativa No.</w:t>
      </w:r>
      <w:r>
        <w:rPr>
          <w:rFonts w:cs="Arial"/>
          <w:sz w:val="22"/>
          <w:szCs w:val="22"/>
        </w:rPr>
        <w:t xml:space="preserve"> 258-2021</w:t>
      </w:r>
      <w:r w:rsidRPr="00931937">
        <w:rPr>
          <w:rFonts w:cs="Arial"/>
          <w:sz w:val="22"/>
          <w:szCs w:val="22"/>
        </w:rPr>
        <w:t xml:space="preserve">, el cual </w:t>
      </w:r>
      <w:r w:rsidRPr="00931937">
        <w:rPr>
          <w:rFonts w:cs="Arial"/>
          <w:sz w:val="22"/>
          <w:szCs w:val="22"/>
          <w:u w:val="single"/>
        </w:rPr>
        <w:t>fue notificado electrónicamente</w:t>
      </w:r>
      <w:r>
        <w:rPr>
          <w:rFonts w:cs="Arial"/>
          <w:sz w:val="22"/>
          <w:szCs w:val="22"/>
          <w:u w:val="single"/>
        </w:rPr>
        <w:t xml:space="preserve"> </w:t>
      </w:r>
      <w:r w:rsidRPr="00E1032B">
        <w:rPr>
          <w:rFonts w:cs="Arial"/>
          <w:sz w:val="22"/>
          <w:szCs w:val="22"/>
        </w:rPr>
        <w:t xml:space="preserve">a </w:t>
      </w:r>
      <w:r>
        <w:rPr>
          <w:rFonts w:cs="Arial"/>
          <w:sz w:val="22"/>
          <w:szCs w:val="22"/>
        </w:rPr>
        <w:t xml:space="preserve">la </w:t>
      </w:r>
      <w:r w:rsidR="00DB45F2">
        <w:rPr>
          <w:rFonts w:cs="Arial"/>
          <w:sz w:val="22"/>
          <w:szCs w:val="22"/>
        </w:rPr>
        <w:t>sociedad</w:t>
      </w:r>
      <w:r w:rsidR="00DB45F2" w:rsidRPr="00931937">
        <w:rPr>
          <w:rFonts w:cs="Arial"/>
          <w:sz w:val="22"/>
          <w:szCs w:val="22"/>
        </w:rPr>
        <w:t xml:space="preserve"> </w:t>
      </w:r>
      <w:r w:rsidR="00DB45F2">
        <w:rPr>
          <w:rFonts w:cs="Arial"/>
          <w:sz w:val="22"/>
          <w:szCs w:val="22"/>
        </w:rPr>
        <w:t>TRAFALGAR HOLDINGS DE COLOMBIA SAS / BODYBRITE EL LAGO identificado con NIT. 901.303.792-4 sin código de prestador</w:t>
      </w:r>
      <w:r>
        <w:rPr>
          <w:rFonts w:cs="Arial"/>
          <w:sz w:val="22"/>
          <w:szCs w:val="22"/>
        </w:rPr>
        <w:t xml:space="preserve">. </w:t>
      </w:r>
      <w:r w:rsidRPr="00931937">
        <w:rPr>
          <w:rFonts w:cs="Arial"/>
          <w:sz w:val="22"/>
          <w:szCs w:val="22"/>
        </w:rPr>
        <w:t xml:space="preserve">Así las cosas, en este punto, el </w:t>
      </w:r>
      <w:r w:rsidRPr="00931937">
        <w:rPr>
          <w:rFonts w:cs="Arial"/>
          <w:i/>
          <w:iCs/>
          <w:sz w:val="22"/>
          <w:szCs w:val="22"/>
        </w:rPr>
        <w:t xml:space="preserve">ad quem </w:t>
      </w:r>
      <w:r w:rsidRPr="00931937">
        <w:rPr>
          <w:rFonts w:cs="Arial"/>
          <w:sz w:val="22"/>
          <w:szCs w:val="22"/>
        </w:rPr>
        <w:t xml:space="preserve">considera pertinente y relevante, una vez revisado el caso </w:t>
      </w:r>
      <w:r w:rsidRPr="00931937">
        <w:rPr>
          <w:rFonts w:cs="Arial"/>
          <w:i/>
          <w:iCs/>
          <w:sz w:val="22"/>
          <w:szCs w:val="22"/>
        </w:rPr>
        <w:t>sub examine</w:t>
      </w:r>
      <w:r w:rsidRPr="00931937">
        <w:rPr>
          <w:rFonts w:cs="Arial"/>
          <w:sz w:val="22"/>
          <w:szCs w:val="22"/>
        </w:rPr>
        <w:t xml:space="preserve"> en su integralidad realizar el siguiente análisis:</w:t>
      </w:r>
      <w:r>
        <w:rPr>
          <w:rFonts w:cs="Arial"/>
          <w:sz w:val="22"/>
          <w:szCs w:val="22"/>
        </w:rPr>
        <w:t xml:space="preserve">    </w:t>
      </w:r>
      <w:r w:rsidR="00DB45F2">
        <w:rPr>
          <w:rFonts w:cs="Arial"/>
          <w:sz w:val="22"/>
          <w:szCs w:val="22"/>
        </w:rPr>
        <w:t xml:space="preserve"> </w:t>
      </w:r>
      <w:r>
        <w:rPr>
          <w:rFonts w:cs="Arial"/>
          <w:sz w:val="22"/>
          <w:szCs w:val="22"/>
        </w:rPr>
        <w:t xml:space="preserve">           </w:t>
      </w:r>
    </w:p>
    <w:p w:rsidR="00035028" w:rsidRPr="00931937" w:rsidRDefault="00035028" w:rsidP="00035028">
      <w:pPr>
        <w:widowControl w:val="0"/>
        <w:jc w:val="both"/>
        <w:rPr>
          <w:rFonts w:cs="Arial"/>
          <w:sz w:val="22"/>
          <w:szCs w:val="22"/>
        </w:rPr>
      </w:pPr>
      <w:r>
        <w:rPr>
          <w:rFonts w:cs="Arial"/>
          <w:sz w:val="22"/>
          <w:szCs w:val="22"/>
        </w:rPr>
        <w:t xml:space="preserve"> </w:t>
      </w:r>
    </w:p>
    <w:p w:rsidR="00035028" w:rsidRPr="00931937" w:rsidRDefault="00035028" w:rsidP="00035028">
      <w:pPr>
        <w:widowControl w:val="0"/>
        <w:jc w:val="both"/>
        <w:rPr>
          <w:rFonts w:cs="Arial"/>
          <w:sz w:val="22"/>
          <w:szCs w:val="22"/>
        </w:rPr>
      </w:pPr>
      <w:r w:rsidRPr="00931937">
        <w:rPr>
          <w:rFonts w:cs="Arial"/>
          <w:sz w:val="22"/>
          <w:szCs w:val="22"/>
        </w:rPr>
        <w:t>Como premisa fundamental, es necesario preci</w:t>
      </w:r>
      <w:r>
        <w:rPr>
          <w:rFonts w:cs="Arial"/>
          <w:sz w:val="22"/>
          <w:szCs w:val="22"/>
        </w:rPr>
        <w:t>s</w:t>
      </w:r>
      <w:r w:rsidRPr="00931937">
        <w:rPr>
          <w:rFonts w:cs="Arial"/>
          <w:sz w:val="22"/>
          <w:szCs w:val="22"/>
        </w:rPr>
        <w:t xml:space="preserve">ar 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rsidR="00035028" w:rsidRPr="00931937" w:rsidRDefault="00035028" w:rsidP="00035028">
      <w:pPr>
        <w:widowControl w:val="0"/>
        <w:jc w:val="both"/>
        <w:rPr>
          <w:rFonts w:cs="Arial"/>
          <w:sz w:val="22"/>
          <w:szCs w:val="22"/>
        </w:rPr>
      </w:pPr>
    </w:p>
    <w:p w:rsidR="00035028" w:rsidRPr="00931937" w:rsidRDefault="00035028" w:rsidP="00035028">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 legal y demás cánones legales concernientes, se evidencia que el proceso administrativo sancionatorio NO surtió su curso siguiendo los parámetros de la carta fundamental, en especial lo prescrito en artículo 29 de la Constitución Política, el cual dispone que: </w:t>
      </w:r>
    </w:p>
    <w:p w:rsidR="00035028" w:rsidRPr="00931937" w:rsidRDefault="00035028" w:rsidP="00035028">
      <w:pPr>
        <w:jc w:val="both"/>
        <w:rPr>
          <w:rFonts w:cs="Arial"/>
          <w:sz w:val="22"/>
          <w:szCs w:val="22"/>
        </w:rPr>
      </w:pPr>
    </w:p>
    <w:p w:rsidR="00035028" w:rsidRPr="00931937" w:rsidRDefault="00035028" w:rsidP="00035028">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Pr="00931937">
        <w:rPr>
          <w:rFonts w:cs="Arial"/>
          <w:sz w:val="22"/>
          <w:szCs w:val="22"/>
        </w:rPr>
        <w:t xml:space="preserve">. </w:t>
      </w:r>
    </w:p>
    <w:p w:rsidR="00035028" w:rsidRPr="00931937" w:rsidRDefault="00035028" w:rsidP="00035028">
      <w:pPr>
        <w:jc w:val="both"/>
        <w:rPr>
          <w:rFonts w:cs="Arial"/>
          <w:sz w:val="22"/>
          <w:szCs w:val="22"/>
        </w:rPr>
      </w:pPr>
    </w:p>
    <w:p w:rsidR="00035028" w:rsidRPr="00931937" w:rsidRDefault="00035028" w:rsidP="00035028">
      <w:pPr>
        <w:jc w:val="both"/>
        <w:rPr>
          <w:rFonts w:cs="Arial"/>
          <w:sz w:val="22"/>
          <w:szCs w:val="22"/>
        </w:rPr>
      </w:pPr>
      <w:r w:rsidRPr="00931937">
        <w:rPr>
          <w:rFonts w:cs="Arial"/>
          <w:sz w:val="22"/>
          <w:szCs w:val="22"/>
        </w:rPr>
        <w:t>También, al respecto, la Honorable Corte Constitucional, en Sentencia C- 713 de 2012, con ponencia del Magistrado Alfredo Beltrán Sierra, precisó:</w:t>
      </w:r>
    </w:p>
    <w:p w:rsidR="00035028" w:rsidRPr="00931937" w:rsidRDefault="00035028" w:rsidP="00035028">
      <w:pPr>
        <w:jc w:val="both"/>
        <w:rPr>
          <w:rFonts w:cs="Arial"/>
          <w:sz w:val="22"/>
          <w:szCs w:val="22"/>
        </w:rPr>
      </w:pPr>
    </w:p>
    <w:p w:rsidR="00035028" w:rsidRPr="00931937" w:rsidRDefault="00035028" w:rsidP="00035028">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931937">
        <w:rPr>
          <w:rFonts w:cs="Arial"/>
          <w:i/>
          <w:iCs/>
          <w:sz w:val="20"/>
          <w:szCs w:val="22"/>
        </w:rPr>
        <w:t xml:space="preserve">. Por su parte, el inciso 2 del artículo 29 de la Constitución </w:t>
      </w:r>
      <w:r w:rsidRPr="00931937">
        <w:rPr>
          <w:rFonts w:cs="Arial"/>
          <w:i/>
          <w:iCs/>
          <w:sz w:val="20"/>
          <w:szCs w:val="22"/>
        </w:rPr>
        <w:lastRenderedPageBreak/>
        <w:t xml:space="preserve">Política, prescribe que "nadie podrá ser juzgado sino conforme a leyes preexistentes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 xml:space="preserve">". </w:t>
      </w:r>
      <w:r w:rsidRPr="00931937">
        <w:rPr>
          <w:rFonts w:cs="Arial"/>
          <w:i/>
          <w:iCs/>
          <w:sz w:val="20"/>
          <w:szCs w:val="22"/>
        </w:rPr>
        <w:t>(Resaltado propio)</w:t>
      </w:r>
    </w:p>
    <w:p w:rsidR="00035028" w:rsidRPr="00931937" w:rsidRDefault="00035028" w:rsidP="00035028">
      <w:pPr>
        <w:ind w:left="708"/>
        <w:jc w:val="both"/>
        <w:rPr>
          <w:rFonts w:cs="Arial"/>
          <w:i/>
          <w:sz w:val="20"/>
          <w:szCs w:val="22"/>
        </w:rPr>
      </w:pPr>
    </w:p>
    <w:p w:rsidR="00035028" w:rsidRPr="00931937" w:rsidRDefault="00035028" w:rsidP="00035028">
      <w:pPr>
        <w:jc w:val="both"/>
        <w:rPr>
          <w:rFonts w:cs="Arial"/>
          <w:iCs/>
          <w:sz w:val="22"/>
          <w:szCs w:val="22"/>
        </w:rPr>
      </w:pPr>
      <w:r w:rsidRPr="00931937">
        <w:rPr>
          <w:rFonts w:cs="Arial"/>
          <w:iCs/>
          <w:sz w:val="22"/>
          <w:szCs w:val="22"/>
        </w:rPr>
        <w:t>Ahora, entre los elementos más importantes del debido proceso, la Corte Constitucional ha destacado:</w:t>
      </w:r>
    </w:p>
    <w:p w:rsidR="00035028" w:rsidRPr="00931937" w:rsidRDefault="00035028" w:rsidP="00035028">
      <w:pPr>
        <w:jc w:val="both"/>
        <w:rPr>
          <w:rFonts w:cs="Arial"/>
          <w:iCs/>
          <w:sz w:val="22"/>
          <w:szCs w:val="22"/>
        </w:rPr>
      </w:pPr>
      <w:r w:rsidRPr="00931937">
        <w:rPr>
          <w:rFonts w:cs="Arial"/>
          <w:iCs/>
          <w:sz w:val="22"/>
          <w:szCs w:val="22"/>
        </w:rPr>
        <w:t xml:space="preserve"> </w:t>
      </w:r>
    </w:p>
    <w:p w:rsidR="00035028" w:rsidRPr="00931937" w:rsidRDefault="00035028" w:rsidP="00035028">
      <w:pPr>
        <w:ind w:left="284" w:right="333"/>
        <w:jc w:val="both"/>
        <w:rPr>
          <w:rFonts w:cs="Arial"/>
          <w:i/>
          <w:iCs/>
          <w:sz w:val="20"/>
          <w:szCs w:val="20"/>
        </w:rPr>
      </w:pPr>
      <w:r w:rsidRPr="00931937">
        <w:rPr>
          <w:rFonts w:cs="Arial"/>
          <w:i/>
          <w:iCs/>
          <w:sz w:val="20"/>
          <w:szCs w:val="20"/>
        </w:rPr>
        <w:t xml:space="preserve">“(…) (i) el derecho a conocer el inicio de la actuación; (ii) </w:t>
      </w:r>
      <w:r w:rsidRPr="00931937">
        <w:rPr>
          <w:rFonts w:cs="Arial"/>
          <w:bCs/>
          <w:i/>
          <w:iCs/>
          <w:sz w:val="20"/>
          <w:szCs w:val="20"/>
        </w:rPr>
        <w:t>a ser oído durante el 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con pleno respeto de las formas propias de cada juicio definidas por el legislador</w:t>
      </w:r>
      <w:r w:rsidRPr="00931937">
        <w:rPr>
          <w:rFonts w:cs="Arial"/>
          <w:i/>
          <w:iCs/>
          <w:sz w:val="20"/>
          <w:szCs w:val="20"/>
        </w:rPr>
        <w:t xml:space="preserve">, (v) a que no se presenten dilaciones injustificadas,(vii) a gozar de la presunción de inocencia, (viii) </w:t>
      </w:r>
      <w:r w:rsidRPr="00931937">
        <w:rPr>
          <w:rFonts w:cs="Arial"/>
          <w:bCs/>
          <w:i/>
          <w:iCs/>
          <w:sz w:val="20"/>
          <w:szCs w:val="20"/>
        </w:rPr>
        <w:t>a ejercer derechos de defensa y contradicción</w:t>
      </w:r>
      <w:r w:rsidRPr="00931937">
        <w:rPr>
          <w:rFonts w:cs="Arial"/>
          <w:i/>
          <w:iCs/>
          <w:sz w:val="20"/>
          <w:szCs w:val="20"/>
        </w:rPr>
        <w:t xml:space="preserve">, (ix) a presentar 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(Subrayado fuera de texto).</w:t>
      </w:r>
    </w:p>
    <w:p w:rsidR="00035028" w:rsidRPr="00931937" w:rsidRDefault="00035028" w:rsidP="00035028">
      <w:pPr>
        <w:jc w:val="both"/>
        <w:rPr>
          <w:rFonts w:cs="Arial"/>
          <w:iCs/>
          <w:sz w:val="22"/>
          <w:szCs w:val="22"/>
        </w:rPr>
      </w:pPr>
      <w:r w:rsidRPr="00931937">
        <w:rPr>
          <w:rFonts w:cs="Arial"/>
          <w:iCs/>
          <w:sz w:val="22"/>
          <w:szCs w:val="22"/>
        </w:rPr>
        <w:br/>
        <w:t xml:space="preserve">El debido proceso administrativo también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validez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rsidR="00035028" w:rsidRPr="00931937" w:rsidRDefault="00035028" w:rsidP="00035028">
      <w:pPr>
        <w:jc w:val="both"/>
        <w:rPr>
          <w:rFonts w:cs="Arial"/>
          <w:sz w:val="22"/>
          <w:szCs w:val="22"/>
        </w:rPr>
      </w:pPr>
    </w:p>
    <w:p w:rsidR="00035028" w:rsidRPr="00931937" w:rsidRDefault="00035028" w:rsidP="00035028">
      <w:pPr>
        <w:jc w:val="both"/>
        <w:rPr>
          <w:rFonts w:cs="Arial"/>
          <w:sz w:val="22"/>
          <w:szCs w:val="22"/>
        </w:rPr>
      </w:pPr>
      <w:r w:rsidRPr="00931937">
        <w:rPr>
          <w:rFonts w:cs="Arial"/>
          <w:sz w:val="22"/>
          <w:szCs w:val="22"/>
        </w:rPr>
        <w:t>Lo anterior, en concordancia con los principios de las actuaciones administrativas según dispone el artículo 3 de la Ley 1437 de 2011, Código de Procedimiento Administrativo y de lo Contencioso Administrativo, el cual establece que:</w:t>
      </w:r>
    </w:p>
    <w:p w:rsidR="00035028" w:rsidRDefault="00035028" w:rsidP="00035028">
      <w:pPr>
        <w:jc w:val="both"/>
        <w:rPr>
          <w:rFonts w:cs="Arial"/>
          <w:sz w:val="22"/>
          <w:szCs w:val="22"/>
        </w:rPr>
      </w:pPr>
    </w:p>
    <w:p w:rsidR="00035028" w:rsidRDefault="00035028" w:rsidP="00035028">
      <w:pPr>
        <w:tabs>
          <w:tab w:val="left" w:pos="284"/>
        </w:tabs>
        <w:ind w:left="284"/>
        <w:jc w:val="both"/>
        <w:rPr>
          <w:rFonts w:cs="Arial"/>
          <w:sz w:val="22"/>
          <w:szCs w:val="22"/>
        </w:rPr>
      </w:pPr>
      <w:r>
        <w:rPr>
          <w:rFonts w:cs="Arial"/>
          <w:sz w:val="22"/>
          <w:szCs w:val="22"/>
        </w:rPr>
        <w:t>(…)</w:t>
      </w:r>
    </w:p>
    <w:p w:rsidR="00035028" w:rsidRPr="00931937" w:rsidRDefault="00035028" w:rsidP="00035028">
      <w:pPr>
        <w:tabs>
          <w:tab w:val="left" w:pos="284"/>
        </w:tabs>
        <w:ind w:left="284"/>
        <w:jc w:val="both"/>
        <w:rPr>
          <w:rFonts w:cs="Arial"/>
          <w:sz w:val="22"/>
          <w:szCs w:val="22"/>
        </w:rPr>
      </w:pPr>
    </w:p>
    <w:p w:rsidR="00035028" w:rsidRPr="00931937" w:rsidRDefault="00035028" w:rsidP="00035028">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rsidR="00035028" w:rsidRPr="00931937" w:rsidRDefault="00035028" w:rsidP="00035028">
      <w:pPr>
        <w:tabs>
          <w:tab w:val="left" w:pos="284"/>
        </w:tabs>
        <w:ind w:left="284" w:right="333"/>
        <w:jc w:val="both"/>
        <w:rPr>
          <w:rFonts w:cs="Arial"/>
          <w:i/>
          <w:iCs/>
          <w:sz w:val="20"/>
          <w:szCs w:val="22"/>
        </w:rPr>
      </w:pPr>
    </w:p>
    <w:p w:rsidR="00035028" w:rsidRPr="00931937" w:rsidRDefault="00035028" w:rsidP="00035028">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xml:space="preserve">, coordinación, eficacia, economía y celeridad. </w:t>
      </w:r>
    </w:p>
    <w:p w:rsidR="00035028" w:rsidRPr="00931937" w:rsidRDefault="00035028" w:rsidP="00035028">
      <w:pPr>
        <w:tabs>
          <w:tab w:val="left" w:pos="284"/>
        </w:tabs>
        <w:ind w:left="284" w:right="333"/>
        <w:jc w:val="both"/>
        <w:rPr>
          <w:rFonts w:cs="Arial"/>
          <w:i/>
          <w:iCs/>
          <w:sz w:val="20"/>
          <w:szCs w:val="22"/>
        </w:rPr>
      </w:pPr>
    </w:p>
    <w:p w:rsidR="00035028" w:rsidRPr="00931937" w:rsidRDefault="00035028" w:rsidP="00035028">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rsidR="00035028" w:rsidRPr="00931937" w:rsidRDefault="00035028" w:rsidP="00035028">
      <w:pPr>
        <w:tabs>
          <w:tab w:val="left" w:pos="284"/>
        </w:tabs>
        <w:ind w:left="284" w:right="333"/>
        <w:jc w:val="both"/>
        <w:rPr>
          <w:rFonts w:cs="Arial"/>
          <w:i/>
          <w:iCs/>
          <w:sz w:val="20"/>
          <w:szCs w:val="22"/>
        </w:rPr>
      </w:pPr>
    </w:p>
    <w:p w:rsidR="00035028" w:rsidRDefault="00035028" w:rsidP="00035028">
      <w:pPr>
        <w:tabs>
          <w:tab w:val="left" w:pos="284"/>
        </w:tabs>
        <w:ind w:left="284" w:right="333"/>
        <w:jc w:val="both"/>
        <w:rPr>
          <w:rFonts w:cs="Arial"/>
          <w:i/>
          <w:iCs/>
          <w:sz w:val="20"/>
          <w:szCs w:val="22"/>
        </w:rPr>
      </w:pPr>
      <w:r w:rsidRPr="00931937">
        <w:rPr>
          <w:rFonts w:cs="Arial"/>
          <w:i/>
          <w:iCs/>
          <w:sz w:val="20"/>
          <w:szCs w:val="22"/>
        </w:rPr>
        <w:t>En materia administrativa sancionatoria, se observarán adicionalmente los principios de legalidad de las faltas y de las sanciones, de presunción de inocencia, de no reformatio in pejus y non bis in Ídem.</w:t>
      </w:r>
    </w:p>
    <w:p w:rsidR="00035028" w:rsidRDefault="00035028" w:rsidP="00035028">
      <w:pPr>
        <w:tabs>
          <w:tab w:val="left" w:pos="284"/>
        </w:tabs>
        <w:ind w:right="333"/>
        <w:jc w:val="both"/>
        <w:rPr>
          <w:rFonts w:cs="Arial"/>
          <w:i/>
          <w:iCs/>
          <w:sz w:val="20"/>
          <w:szCs w:val="22"/>
        </w:rPr>
      </w:pPr>
      <w:r>
        <w:rPr>
          <w:rFonts w:cs="Arial"/>
          <w:i/>
          <w:iCs/>
          <w:sz w:val="20"/>
          <w:szCs w:val="22"/>
        </w:rPr>
        <w:tab/>
      </w:r>
      <w:r w:rsidRPr="00931937">
        <w:rPr>
          <w:rFonts w:cs="Arial"/>
          <w:i/>
          <w:iCs/>
          <w:sz w:val="20"/>
          <w:szCs w:val="22"/>
        </w:rPr>
        <w:t>(…)</w:t>
      </w:r>
    </w:p>
    <w:p w:rsidR="00035028" w:rsidRPr="00931937" w:rsidRDefault="00035028" w:rsidP="00035028">
      <w:pPr>
        <w:tabs>
          <w:tab w:val="left" w:pos="284"/>
        </w:tabs>
        <w:ind w:left="284" w:right="333"/>
        <w:jc w:val="both"/>
        <w:rPr>
          <w:rFonts w:cs="Arial"/>
          <w:i/>
          <w:iCs/>
          <w:sz w:val="20"/>
          <w:szCs w:val="22"/>
        </w:rPr>
      </w:pPr>
    </w:p>
    <w:p w:rsidR="00035028" w:rsidRDefault="00035028" w:rsidP="00035028">
      <w:pPr>
        <w:tabs>
          <w:tab w:val="left" w:pos="284"/>
        </w:tabs>
        <w:ind w:left="284" w:right="333"/>
        <w:jc w:val="both"/>
        <w:rPr>
          <w:rFonts w:cs="Arial"/>
          <w:i/>
          <w:sz w:val="20"/>
          <w:szCs w:val="22"/>
        </w:rPr>
      </w:pPr>
      <w:r w:rsidRPr="00931937">
        <w:rPr>
          <w:rFonts w:cs="Arial"/>
          <w:i/>
          <w:iCs/>
          <w:sz w:val="20"/>
          <w:szCs w:val="22"/>
        </w:rPr>
        <w:lastRenderedPageBreak/>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Pr="00931937">
        <w:rPr>
          <w:rFonts w:cs="Arial"/>
          <w:i/>
          <w:sz w:val="20"/>
          <w:szCs w:val="22"/>
        </w:rPr>
        <w:t xml:space="preserve"> (Resaltado fuera del texto original)</w:t>
      </w:r>
      <w:r>
        <w:rPr>
          <w:rFonts w:cs="Arial"/>
          <w:i/>
          <w:sz w:val="20"/>
          <w:szCs w:val="22"/>
        </w:rPr>
        <w:t xml:space="preserve">. </w:t>
      </w:r>
    </w:p>
    <w:p w:rsidR="00035028" w:rsidRPr="00931937" w:rsidRDefault="00035028" w:rsidP="00035028">
      <w:pPr>
        <w:tabs>
          <w:tab w:val="left" w:pos="284"/>
        </w:tabs>
        <w:ind w:left="284" w:right="333"/>
        <w:jc w:val="both"/>
        <w:rPr>
          <w:rFonts w:cs="Arial"/>
          <w:i/>
          <w:sz w:val="20"/>
          <w:szCs w:val="22"/>
        </w:rPr>
      </w:pPr>
    </w:p>
    <w:p w:rsidR="00035028" w:rsidRPr="00931937" w:rsidRDefault="00035028" w:rsidP="00035028">
      <w:pPr>
        <w:jc w:val="both"/>
        <w:rPr>
          <w:rFonts w:cs="Arial"/>
          <w:sz w:val="22"/>
          <w:szCs w:val="22"/>
        </w:rPr>
      </w:pPr>
      <w:r w:rsidRPr="00931937">
        <w:rPr>
          <w:rFonts w:cs="Arial"/>
          <w:sz w:val="22"/>
          <w:szCs w:val="22"/>
        </w:rPr>
        <w:t>La anterior disposición es particularmente clara, en establecer pautas de alcance lógico para orientar el desarrollo de la función pública, cuyo propósito principal está constituido por el logro de los cometidos Estatales señalados en el Artículo 1 del Código de Procedimiento Administrativo y de lo Contencioso Administrativo. Por ello antes de movilizar toda la infraestructura que posee la administración para el cumplimiento de las funciones que le asigna el legislador en este caso, en particular las funciones de control y vigilancia al cumplimiento de normas higiénico-sanitarias, técnicas, administrativas y financieras, etc., se debe considerar que dicho esfuerzo debe orientarse a la búsqueda de un efecto real sobre los administrados.</w:t>
      </w:r>
    </w:p>
    <w:p w:rsidR="00035028" w:rsidRPr="00931937" w:rsidRDefault="00035028" w:rsidP="00035028">
      <w:pPr>
        <w:jc w:val="both"/>
        <w:rPr>
          <w:rFonts w:cs="Arial"/>
          <w:i/>
          <w:sz w:val="20"/>
          <w:szCs w:val="22"/>
        </w:rPr>
      </w:pPr>
    </w:p>
    <w:p w:rsidR="00035028" w:rsidRPr="00931937" w:rsidRDefault="00035028" w:rsidP="00035028">
      <w:pPr>
        <w:jc w:val="both"/>
        <w:rPr>
          <w:rFonts w:cs="Arial"/>
          <w:i/>
          <w:sz w:val="20"/>
          <w:szCs w:val="22"/>
        </w:rPr>
      </w:pPr>
      <w:r w:rsidRPr="00931937">
        <w:rPr>
          <w:rFonts w:cs="Arial"/>
          <w:sz w:val="22"/>
          <w:szCs w:val="22"/>
        </w:rPr>
        <w:t>Así las cosas, si bien es cierto que la autoridad administrativa tiene la obligación de investigar el incumplimiento a las disposiciones normativas higiénico-sanitarias, también lo es, que su actuar no puede pretender sacrificar injustamente los derechos fundamentales de los investigados y ponerlos en una condición de inseguridad jurídica.</w:t>
      </w:r>
    </w:p>
    <w:p w:rsidR="00035028" w:rsidRPr="00931937" w:rsidRDefault="00035028" w:rsidP="00035028">
      <w:pPr>
        <w:jc w:val="both"/>
        <w:rPr>
          <w:rFonts w:cs="Arial"/>
          <w:i/>
          <w:sz w:val="20"/>
          <w:szCs w:val="22"/>
        </w:rPr>
      </w:pPr>
    </w:p>
    <w:p w:rsidR="00035028" w:rsidRPr="00931937" w:rsidRDefault="00035028" w:rsidP="00035028">
      <w:pPr>
        <w:jc w:val="both"/>
        <w:rPr>
          <w:rFonts w:cs="Arial"/>
          <w:sz w:val="22"/>
          <w:szCs w:val="22"/>
        </w:rPr>
      </w:pPr>
      <w:r w:rsidRPr="00931937">
        <w:rPr>
          <w:rFonts w:cs="Arial"/>
          <w:sz w:val="22"/>
          <w:szCs w:val="22"/>
        </w:rPr>
        <w:t xml:space="preserve">En tal caso y al consultar íntegramente el expediente </w:t>
      </w:r>
      <w:r w:rsidRPr="00931937">
        <w:rPr>
          <w:rFonts w:cs="Arial"/>
          <w:i/>
          <w:sz w:val="22"/>
          <w:szCs w:val="22"/>
        </w:rPr>
        <w:t>sub examine</w:t>
      </w:r>
      <w:r w:rsidRPr="00931937">
        <w:rPr>
          <w:rFonts w:cs="Arial"/>
          <w:sz w:val="22"/>
          <w:szCs w:val="22"/>
        </w:rPr>
        <w:t>, este Despacho evidenció que, efectivamente el acto administrativo que formuló pliego de cargos a la investigada fue notificado por correo electrónico a</w:t>
      </w:r>
      <w:r>
        <w:rPr>
          <w:rFonts w:cs="Arial"/>
          <w:sz w:val="22"/>
          <w:szCs w:val="22"/>
        </w:rPr>
        <w:t xml:space="preserve"> la </w:t>
      </w:r>
      <w:r w:rsidR="00DB45F2">
        <w:rPr>
          <w:rFonts w:cs="Arial"/>
          <w:sz w:val="22"/>
          <w:szCs w:val="22"/>
        </w:rPr>
        <w:t>sociedad</w:t>
      </w:r>
      <w:r w:rsidR="00DB45F2" w:rsidRPr="00931937">
        <w:rPr>
          <w:rFonts w:cs="Arial"/>
          <w:sz w:val="22"/>
          <w:szCs w:val="22"/>
        </w:rPr>
        <w:t xml:space="preserve"> </w:t>
      </w:r>
      <w:r w:rsidR="00DB45F2">
        <w:rPr>
          <w:rFonts w:cs="Arial"/>
          <w:sz w:val="22"/>
          <w:szCs w:val="22"/>
        </w:rPr>
        <w:t>TRAFALGAR HOLDINGS DE COLOMBIA SAS / BODYBRITE EL LAGO identificado con NIT. 901.303.792-4 sin código de prestador</w:t>
      </w:r>
      <w:r w:rsidRPr="00931937">
        <w:rPr>
          <w:rFonts w:cs="Arial"/>
          <w:sz w:val="22"/>
          <w:szCs w:val="22"/>
        </w:rPr>
        <w:t xml:space="preserve">, </w:t>
      </w:r>
      <w:r w:rsidRPr="00931937">
        <w:rPr>
          <w:rFonts w:cs="Arial"/>
          <w:b/>
          <w:bCs/>
          <w:sz w:val="22"/>
          <w:szCs w:val="22"/>
          <w:u w:val="single"/>
        </w:rPr>
        <w:t>sin cumplirse el requisito para surtir la notificación electrónica en debida forma</w:t>
      </w:r>
      <w:r w:rsidRPr="00931937">
        <w:rPr>
          <w:rFonts w:cs="Arial"/>
          <w:sz w:val="22"/>
          <w:szCs w:val="22"/>
        </w:rPr>
        <w:t>, es decir, para el presente caso</w:t>
      </w:r>
      <w:r w:rsidRPr="00931937">
        <w:rPr>
          <w:rFonts w:cs="Arial"/>
          <w:b/>
          <w:sz w:val="22"/>
          <w:szCs w:val="22"/>
        </w:rPr>
        <w:t xml:space="preserve"> la aceptación unilateral por parte del destinatario de autorizar dicho medio de notificación</w:t>
      </w:r>
      <w:r w:rsidRPr="00931937">
        <w:rPr>
          <w:rFonts w:cs="Arial"/>
          <w:sz w:val="22"/>
          <w:szCs w:val="22"/>
        </w:rPr>
        <w:t>, pues al respecto la normativa procedimental administrativa vigente -Ley 1437 de 2011- en su artículo 56 dispone que:</w:t>
      </w:r>
      <w:r>
        <w:rPr>
          <w:rFonts w:cs="Arial"/>
          <w:sz w:val="22"/>
          <w:szCs w:val="22"/>
        </w:rPr>
        <w:t xml:space="preserve">            </w:t>
      </w:r>
    </w:p>
    <w:p w:rsidR="00035028" w:rsidRDefault="00035028" w:rsidP="00035028">
      <w:pPr>
        <w:ind w:left="284" w:right="474"/>
        <w:jc w:val="both"/>
        <w:rPr>
          <w:rFonts w:cs="Arial"/>
          <w:i/>
          <w:iCs/>
          <w:sz w:val="22"/>
          <w:szCs w:val="22"/>
        </w:rPr>
      </w:pPr>
      <w:r w:rsidRPr="00931937">
        <w:rPr>
          <w:rFonts w:cs="Arial"/>
          <w:i/>
          <w:iCs/>
          <w:sz w:val="22"/>
          <w:szCs w:val="22"/>
        </w:rPr>
        <w:t xml:space="preserve">(…) </w:t>
      </w:r>
    </w:p>
    <w:p w:rsidR="00035028" w:rsidRPr="00931937" w:rsidRDefault="00035028" w:rsidP="00035028">
      <w:pPr>
        <w:ind w:left="284" w:right="474"/>
        <w:jc w:val="both"/>
        <w:rPr>
          <w:rFonts w:cs="Arial"/>
          <w:i/>
          <w:iCs/>
          <w:sz w:val="22"/>
          <w:szCs w:val="22"/>
        </w:rPr>
      </w:pPr>
    </w:p>
    <w:p w:rsidR="00035028" w:rsidRPr="00931937" w:rsidRDefault="00035028" w:rsidP="00035028">
      <w:pPr>
        <w:ind w:left="284" w:right="474"/>
        <w:jc w:val="both"/>
        <w:rPr>
          <w:rFonts w:cs="Arial"/>
          <w:i/>
          <w:iCs/>
          <w:sz w:val="20"/>
          <w:szCs w:val="20"/>
        </w:rPr>
      </w:pPr>
      <w:r w:rsidRPr="00931937">
        <w:rPr>
          <w:rFonts w:cs="Arial"/>
          <w:bCs/>
          <w:i/>
          <w:sz w:val="20"/>
          <w:szCs w:val="20"/>
        </w:rPr>
        <w:t>“</w:t>
      </w:r>
      <w:r w:rsidRPr="00931937">
        <w:rPr>
          <w:rFonts w:cs="Arial"/>
          <w:b/>
          <w:bCs/>
          <w:i/>
          <w:iCs/>
          <w:sz w:val="20"/>
          <w:szCs w:val="20"/>
        </w:rPr>
        <w:t>ARTÍCULO</w:t>
      </w:r>
      <w:bookmarkStart w:id="3" w:name="56"/>
      <w:bookmarkEnd w:id="3"/>
      <w:r w:rsidRPr="00931937">
        <w:rPr>
          <w:rFonts w:cs="Arial"/>
          <w:b/>
          <w:bCs/>
          <w:i/>
          <w:iCs/>
          <w:sz w:val="20"/>
          <w:szCs w:val="20"/>
        </w:rPr>
        <w:t> 56. Notificación electrónica.</w:t>
      </w:r>
      <w:r w:rsidRPr="00931937">
        <w:rPr>
          <w:rFonts w:cs="Arial"/>
          <w:i/>
          <w:iCs/>
          <w:sz w:val="20"/>
          <w:szCs w:val="20"/>
        </w:rPr>
        <w:t xml:space="preserve"> Las autoridades podrán notificar sus actos a través de medios electrónicos, </w:t>
      </w:r>
      <w:r w:rsidRPr="00931937">
        <w:rPr>
          <w:rFonts w:cs="Arial"/>
          <w:b/>
          <w:i/>
          <w:iCs/>
          <w:sz w:val="20"/>
          <w:szCs w:val="20"/>
          <w:u w:val="single"/>
        </w:rPr>
        <w:t>siempre que el administrado haya aceptado este medio de notificación</w:t>
      </w:r>
      <w:r w:rsidRPr="00931937">
        <w:rPr>
          <w:rFonts w:cs="Arial"/>
          <w:i/>
          <w:iCs/>
          <w:sz w:val="20"/>
          <w:szCs w:val="20"/>
        </w:rPr>
        <w:t xml:space="preserve">. </w:t>
      </w:r>
    </w:p>
    <w:p w:rsidR="00035028" w:rsidRPr="00931937" w:rsidRDefault="00035028" w:rsidP="00035028">
      <w:pPr>
        <w:ind w:left="284" w:right="474"/>
        <w:jc w:val="both"/>
        <w:rPr>
          <w:rFonts w:cs="Arial"/>
          <w:i/>
          <w:iCs/>
          <w:sz w:val="20"/>
          <w:szCs w:val="20"/>
        </w:rPr>
      </w:pPr>
      <w:r w:rsidRPr="00931937">
        <w:rPr>
          <w:rFonts w:cs="Arial"/>
          <w:i/>
          <w:iCs/>
          <w:sz w:val="20"/>
          <w:szCs w:val="20"/>
        </w:rPr>
        <w:t> </w:t>
      </w:r>
    </w:p>
    <w:p w:rsidR="00035028" w:rsidRPr="00931937" w:rsidRDefault="00035028" w:rsidP="00035028">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a menos que el uso de medios electrónicos sea obligatorio en los términos del inciso tercero del artículo 53A del presente título.</w:t>
      </w:r>
    </w:p>
    <w:p w:rsidR="00035028" w:rsidRPr="00931937" w:rsidRDefault="00035028" w:rsidP="00035028">
      <w:pPr>
        <w:ind w:left="284" w:right="474"/>
        <w:jc w:val="both"/>
        <w:rPr>
          <w:rFonts w:cs="Arial"/>
          <w:i/>
          <w:iCs/>
          <w:sz w:val="20"/>
          <w:szCs w:val="20"/>
        </w:rPr>
      </w:pPr>
    </w:p>
    <w:p w:rsidR="00035028" w:rsidRPr="00931937" w:rsidRDefault="00035028" w:rsidP="00035028">
      <w:pPr>
        <w:ind w:left="284" w:right="474"/>
        <w:jc w:val="both"/>
        <w:rPr>
          <w:rFonts w:cs="Arial"/>
          <w:i/>
          <w:iCs/>
          <w:sz w:val="20"/>
          <w:szCs w:val="20"/>
        </w:rPr>
      </w:pPr>
      <w:r w:rsidRPr="00931937">
        <w:rPr>
          <w:rFonts w:cs="Arial"/>
          <w:i/>
          <w:iCs/>
          <w:sz w:val="20"/>
          <w:szCs w:val="20"/>
        </w:rPr>
        <w:t>(…)”.</w:t>
      </w:r>
    </w:p>
    <w:p w:rsidR="00035028" w:rsidRPr="00931937" w:rsidRDefault="00035028" w:rsidP="00035028">
      <w:pPr>
        <w:ind w:left="708"/>
        <w:jc w:val="both"/>
        <w:rPr>
          <w:rFonts w:cs="Arial"/>
          <w:i/>
          <w:sz w:val="20"/>
          <w:szCs w:val="20"/>
        </w:rPr>
      </w:pPr>
    </w:p>
    <w:p w:rsidR="00035028" w:rsidRPr="00931937" w:rsidRDefault="00035028" w:rsidP="00035028">
      <w:pPr>
        <w:jc w:val="both"/>
        <w:rPr>
          <w:rFonts w:cs="Arial"/>
          <w:sz w:val="22"/>
          <w:szCs w:val="22"/>
        </w:rPr>
      </w:pPr>
      <w:r w:rsidRPr="00931937">
        <w:rPr>
          <w:rFonts w:cs="Arial"/>
          <w:sz w:val="22"/>
          <w:szCs w:val="22"/>
        </w:rPr>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duda que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rsidR="00035028" w:rsidRPr="00931937" w:rsidRDefault="00035028" w:rsidP="00035028">
      <w:pPr>
        <w:jc w:val="both"/>
        <w:rPr>
          <w:rFonts w:cs="Arial"/>
          <w:sz w:val="22"/>
          <w:szCs w:val="22"/>
        </w:rPr>
      </w:pPr>
    </w:p>
    <w:p w:rsidR="00035028" w:rsidRPr="00931937" w:rsidRDefault="00035028" w:rsidP="00035028">
      <w:pPr>
        <w:jc w:val="both"/>
        <w:rPr>
          <w:rFonts w:cs="Arial"/>
          <w:sz w:val="22"/>
          <w:szCs w:val="22"/>
        </w:rPr>
      </w:pPr>
      <w:r w:rsidRPr="00931937">
        <w:rPr>
          <w:rFonts w:cs="Arial"/>
          <w:sz w:val="22"/>
          <w:szCs w:val="22"/>
        </w:rPr>
        <w:lastRenderedPageBreak/>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rsidR="00035028" w:rsidRPr="00931937" w:rsidRDefault="00035028" w:rsidP="00035028">
      <w:pPr>
        <w:jc w:val="both"/>
        <w:rPr>
          <w:rFonts w:cs="Arial"/>
          <w:sz w:val="22"/>
          <w:szCs w:val="22"/>
        </w:rPr>
      </w:pPr>
    </w:p>
    <w:p w:rsidR="00035028" w:rsidRPr="006536A9" w:rsidRDefault="00035028" w:rsidP="00035028">
      <w:pPr>
        <w:jc w:val="both"/>
        <w:rPr>
          <w:rFonts w:cs="Arial"/>
          <w:sz w:val="22"/>
          <w:szCs w:val="22"/>
        </w:rPr>
      </w:pPr>
      <w:r w:rsidRPr="006536A9">
        <w:rPr>
          <w:rFonts w:cs="Arial"/>
          <w:sz w:val="22"/>
          <w:szCs w:val="22"/>
        </w:rPr>
        <w:t xml:space="preserve">En consecuencia, de lo anterior, y </w:t>
      </w:r>
      <w:r w:rsidRPr="006536A9">
        <w:rPr>
          <w:rFonts w:cs="Arial"/>
          <w:i/>
          <w:iCs/>
          <w:sz w:val="22"/>
          <w:szCs w:val="22"/>
        </w:rPr>
        <w:t>sin mediar autorización expresa por parte de la investigada</w:t>
      </w:r>
      <w:r>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Pr>
          <w:rFonts w:cs="Arial"/>
          <w:sz w:val="22"/>
          <w:szCs w:val="22"/>
        </w:rPr>
        <w:t>Ley 1437 de 2011, c</w:t>
      </w:r>
      <w:r w:rsidRPr="006536A9">
        <w:rPr>
          <w:rFonts w:cs="Arial"/>
          <w:sz w:val="22"/>
          <w:szCs w:val="22"/>
        </w:rPr>
        <w:t>omo a literal expresa:</w:t>
      </w:r>
      <w:r>
        <w:rPr>
          <w:rFonts w:cs="Arial"/>
          <w:sz w:val="22"/>
          <w:szCs w:val="22"/>
        </w:rPr>
        <w:t xml:space="preserve"> </w:t>
      </w:r>
    </w:p>
    <w:p w:rsidR="00035028" w:rsidRDefault="00035028" w:rsidP="00035028">
      <w:pPr>
        <w:jc w:val="both"/>
        <w:rPr>
          <w:rFonts w:cs="Arial"/>
          <w:sz w:val="22"/>
          <w:szCs w:val="22"/>
        </w:rPr>
      </w:pPr>
    </w:p>
    <w:p w:rsidR="00035028" w:rsidRDefault="00035028" w:rsidP="00035028">
      <w:pPr>
        <w:ind w:left="284"/>
        <w:jc w:val="both"/>
        <w:rPr>
          <w:rFonts w:cs="Arial"/>
          <w:sz w:val="22"/>
          <w:szCs w:val="22"/>
        </w:rPr>
      </w:pPr>
      <w:r>
        <w:rPr>
          <w:rFonts w:cs="Arial"/>
          <w:sz w:val="22"/>
          <w:szCs w:val="22"/>
        </w:rPr>
        <w:t>(…)</w:t>
      </w:r>
      <w:bookmarkStart w:id="4" w:name="66"/>
      <w:r>
        <w:rPr>
          <w:rFonts w:cs="Arial"/>
          <w:sz w:val="22"/>
          <w:szCs w:val="22"/>
        </w:rPr>
        <w:t xml:space="preserve"> </w:t>
      </w:r>
    </w:p>
    <w:p w:rsidR="00035028" w:rsidRPr="00271371" w:rsidRDefault="00035028" w:rsidP="00035028">
      <w:pPr>
        <w:ind w:left="284"/>
        <w:jc w:val="both"/>
        <w:rPr>
          <w:rFonts w:cs="Arial"/>
          <w:sz w:val="22"/>
          <w:szCs w:val="22"/>
        </w:rPr>
      </w:pPr>
      <w:r w:rsidRPr="00931937">
        <w:rPr>
          <w:rFonts w:cs="Arial"/>
          <w:b/>
          <w:bCs/>
          <w:i/>
          <w:iCs/>
          <w:sz w:val="20"/>
          <w:szCs w:val="20"/>
        </w:rPr>
        <w:t>ARTÍCULO 66. DEBER DE NOTIFICACIÓN DE LOS ACTOS ADMINISTRATIVOS DE CARÁCTER PARTICULAR Y CONCRETO.</w:t>
      </w:r>
      <w:bookmarkEnd w:id="4"/>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rsidR="00035028" w:rsidRPr="00931937" w:rsidRDefault="00035028" w:rsidP="00035028">
      <w:pPr>
        <w:jc w:val="both"/>
        <w:rPr>
          <w:rFonts w:cs="Arial"/>
          <w:sz w:val="22"/>
          <w:szCs w:val="22"/>
        </w:rPr>
      </w:pPr>
    </w:p>
    <w:p w:rsidR="00035028" w:rsidRPr="00931937" w:rsidRDefault="00035028" w:rsidP="00035028">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los actos administrativos de carácter particular y concreto, siendo el auto de pliego de cargos</w:t>
      </w:r>
      <w:r w:rsidRPr="00931937">
        <w:rPr>
          <w:rFonts w:cs="Arial"/>
          <w:iCs/>
          <w:sz w:val="22"/>
          <w:szCs w:val="22"/>
        </w:rPr>
        <w:t xml:space="preserve"> y la resolución sancionatoria </w:t>
      </w:r>
      <w:r w:rsidRPr="00931937">
        <w:rPr>
          <w:rFonts w:cs="Arial"/>
          <w:iCs/>
          <w:sz w:val="22"/>
          <w:szCs w:val="22"/>
          <w:lang w:val="es-ES"/>
        </w:rPr>
        <w:t xml:space="preserve">un </w:t>
      </w:r>
      <w:r w:rsidRPr="00931937">
        <w:rPr>
          <w:rFonts w:cs="Arial"/>
          <w:sz w:val="22"/>
          <w:szCs w:val="22"/>
          <w:lang w:val="es-ES"/>
        </w:rPr>
        <w:t xml:space="preserve">acto de esta clase, </w:t>
      </w:r>
      <w:r w:rsidRPr="00931937">
        <w:rPr>
          <w:rFonts w:cs="Arial"/>
          <w:i/>
          <w:iCs/>
          <w:sz w:val="22"/>
          <w:szCs w:val="22"/>
          <w:lang w:val="es-ES"/>
        </w:rPr>
        <w:t>máxime</w:t>
      </w:r>
      <w:r w:rsidRPr="00931937">
        <w:rPr>
          <w:rFonts w:cs="Arial"/>
          <w:sz w:val="22"/>
          <w:szCs w:val="22"/>
          <w:lang w:val="es-ES"/>
        </w:rPr>
        <w:t xml:space="preserve"> si este acto administrativo puso término a la actuación administrativa de carácter sancionatoria como lo es con el traslado para presentación de descargos el cual tiene el término de 15 días para su presentación y el traslado en la decisión de fondo para presentar recursos de 10 días.</w:t>
      </w:r>
    </w:p>
    <w:p w:rsidR="00035028" w:rsidRPr="00931937" w:rsidRDefault="00035028" w:rsidP="00035028">
      <w:pPr>
        <w:jc w:val="both"/>
        <w:rPr>
          <w:rFonts w:cs="Arial"/>
          <w:sz w:val="22"/>
          <w:szCs w:val="22"/>
          <w:lang w:val="es-ES"/>
        </w:rPr>
      </w:pPr>
    </w:p>
    <w:p w:rsidR="00035028" w:rsidRPr="00931937" w:rsidRDefault="00035028" w:rsidP="00035028">
      <w:pPr>
        <w:jc w:val="both"/>
        <w:rPr>
          <w:rFonts w:cs="Arial"/>
          <w:sz w:val="22"/>
          <w:szCs w:val="22"/>
        </w:rPr>
      </w:pPr>
      <w:r w:rsidRPr="00931937">
        <w:rPr>
          <w:rFonts w:cs="Arial"/>
          <w:sz w:val="22"/>
          <w:szCs w:val="22"/>
        </w:rPr>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rsidR="00035028" w:rsidRPr="00931937" w:rsidRDefault="00035028" w:rsidP="00035028">
      <w:pPr>
        <w:jc w:val="both"/>
        <w:rPr>
          <w:rFonts w:cs="Arial"/>
          <w:sz w:val="22"/>
          <w:szCs w:val="22"/>
        </w:rPr>
      </w:pPr>
    </w:p>
    <w:p w:rsidR="00035028" w:rsidRPr="00931937" w:rsidRDefault="00035028" w:rsidP="00035028">
      <w:pPr>
        <w:jc w:val="both"/>
        <w:rPr>
          <w:rFonts w:cs="Arial"/>
          <w:sz w:val="22"/>
          <w:szCs w:val="22"/>
        </w:rPr>
      </w:pPr>
      <w:r w:rsidRPr="00931937">
        <w:rPr>
          <w:rFonts w:cs="Arial"/>
          <w:sz w:val="22"/>
          <w:szCs w:val="22"/>
        </w:rPr>
        <w:t>La Corte Constitucional mediante Sentencia C-012 de 2013 se ha referido al respecto de este tema, en los siguientes términos:</w:t>
      </w:r>
      <w:r>
        <w:rPr>
          <w:rFonts w:cs="Arial"/>
          <w:sz w:val="22"/>
          <w:szCs w:val="22"/>
        </w:rPr>
        <w:t xml:space="preserve"> </w:t>
      </w:r>
    </w:p>
    <w:p w:rsidR="00035028" w:rsidRPr="00DE6DED" w:rsidRDefault="00035028" w:rsidP="00035028">
      <w:pPr>
        <w:jc w:val="both"/>
        <w:rPr>
          <w:rFonts w:cs="Arial"/>
          <w:sz w:val="16"/>
          <w:szCs w:val="22"/>
        </w:rPr>
      </w:pPr>
    </w:p>
    <w:p w:rsidR="00035028" w:rsidRPr="00931937" w:rsidRDefault="00035028" w:rsidP="00035028">
      <w:pPr>
        <w:ind w:left="284" w:right="333"/>
        <w:jc w:val="both"/>
        <w:rPr>
          <w:rFonts w:cs="Arial"/>
          <w:i/>
          <w:sz w:val="20"/>
          <w:szCs w:val="20"/>
        </w:rPr>
      </w:pPr>
      <w:r w:rsidRPr="00931937">
        <w:rPr>
          <w:rFonts w:cs="Arial"/>
          <w:i/>
          <w:sz w:val="20"/>
          <w:szCs w:val="20"/>
        </w:rPr>
        <w:t xml:space="preserve">“(…) 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Pr>
          <w:rFonts w:cs="Arial"/>
          <w:i/>
          <w:sz w:val="20"/>
          <w:szCs w:val="20"/>
        </w:rPr>
        <w:t xml:space="preserve"> </w:t>
      </w:r>
    </w:p>
    <w:p w:rsidR="00035028" w:rsidRPr="00931937" w:rsidRDefault="00035028" w:rsidP="00035028">
      <w:pPr>
        <w:jc w:val="both"/>
        <w:rPr>
          <w:rFonts w:cs="Arial"/>
          <w:sz w:val="22"/>
          <w:szCs w:val="22"/>
          <w:lang w:val="es-ES"/>
        </w:rPr>
      </w:pPr>
    </w:p>
    <w:p w:rsidR="00035028" w:rsidRDefault="00035028" w:rsidP="00035028">
      <w:pPr>
        <w:jc w:val="both"/>
        <w:rPr>
          <w:rFonts w:cs="Arial"/>
          <w:sz w:val="22"/>
          <w:szCs w:val="22"/>
          <w:lang w:val="es-ES"/>
        </w:rPr>
      </w:pPr>
      <w:r w:rsidRPr="00931937">
        <w:rPr>
          <w:rFonts w:cs="Arial"/>
          <w:sz w:val="22"/>
          <w:szCs w:val="22"/>
          <w:lang w:val="es-ES"/>
        </w:rPr>
        <w:t>Ahora bien, la misma normativa procedimental administrativa también es clara al precisar sobre la notificación personal de las decisiones administrativas:</w:t>
      </w:r>
    </w:p>
    <w:p w:rsidR="00035028" w:rsidRDefault="00035028" w:rsidP="00035028">
      <w:pPr>
        <w:jc w:val="both"/>
        <w:rPr>
          <w:rFonts w:cs="Arial"/>
          <w:sz w:val="22"/>
          <w:szCs w:val="22"/>
          <w:lang w:val="es-ES"/>
        </w:rPr>
      </w:pPr>
    </w:p>
    <w:p w:rsidR="00035028" w:rsidRDefault="00035028" w:rsidP="00035028">
      <w:pPr>
        <w:ind w:left="284"/>
        <w:jc w:val="both"/>
        <w:rPr>
          <w:rFonts w:cs="Arial"/>
          <w:sz w:val="22"/>
          <w:szCs w:val="22"/>
          <w:lang w:val="es-ES"/>
        </w:rPr>
      </w:pPr>
      <w:r>
        <w:rPr>
          <w:rFonts w:cs="Arial"/>
          <w:sz w:val="22"/>
          <w:szCs w:val="22"/>
          <w:lang w:val="es-ES"/>
        </w:rPr>
        <w:t>“(…)</w:t>
      </w:r>
      <w:bookmarkStart w:id="5" w:name="67"/>
      <w:r>
        <w:rPr>
          <w:rFonts w:cs="Arial"/>
          <w:sz w:val="22"/>
          <w:szCs w:val="22"/>
          <w:lang w:val="es-ES"/>
        </w:rPr>
        <w:t xml:space="preserve"> </w:t>
      </w:r>
    </w:p>
    <w:p w:rsidR="00035028" w:rsidRDefault="00035028" w:rsidP="00035028">
      <w:pPr>
        <w:ind w:left="284"/>
        <w:jc w:val="both"/>
        <w:rPr>
          <w:rFonts w:cs="Arial"/>
          <w:sz w:val="22"/>
          <w:szCs w:val="22"/>
          <w:lang w:val="es-ES"/>
        </w:rPr>
      </w:pPr>
    </w:p>
    <w:p w:rsidR="00035028" w:rsidRPr="00227019" w:rsidRDefault="00035028" w:rsidP="00035028">
      <w:pPr>
        <w:ind w:left="284"/>
        <w:jc w:val="both"/>
        <w:rPr>
          <w:rFonts w:cs="Arial"/>
          <w:sz w:val="22"/>
          <w:szCs w:val="22"/>
          <w:lang w:val="es-ES"/>
        </w:rPr>
      </w:pPr>
      <w:r w:rsidRPr="00247C23">
        <w:rPr>
          <w:rFonts w:cs="Arial"/>
          <w:b/>
          <w:i/>
          <w:iCs/>
          <w:sz w:val="20"/>
          <w:szCs w:val="20"/>
        </w:rPr>
        <w:t>ARTÍCULO 67.</w:t>
      </w:r>
      <w:r w:rsidRPr="00931937">
        <w:rPr>
          <w:rFonts w:cs="Arial"/>
          <w:b/>
          <w:bCs/>
          <w:i/>
          <w:iCs/>
          <w:sz w:val="20"/>
          <w:szCs w:val="20"/>
        </w:rPr>
        <w:t xml:space="preserve"> NOTIFICACIÓN PERSONAL.</w:t>
      </w:r>
      <w:bookmarkEnd w:id="5"/>
      <w:r w:rsidRPr="00931937">
        <w:rPr>
          <w:rFonts w:cs="Arial"/>
          <w:i/>
          <w:iCs/>
          <w:sz w:val="20"/>
          <w:szCs w:val="20"/>
        </w:rPr>
        <w:t> </w:t>
      </w:r>
      <w:r w:rsidRPr="00931937">
        <w:rPr>
          <w:rFonts w:cs="Arial"/>
          <w:b/>
          <w:bCs/>
          <w:i/>
          <w:iCs/>
          <w:sz w:val="20"/>
          <w:szCs w:val="20"/>
          <w:u w:val="single"/>
        </w:rPr>
        <w:t>Las decisiones que pongan término a una actuación administrativa se notificarán personalmente al interesado</w:t>
      </w:r>
      <w:r w:rsidRPr="00931937">
        <w:rPr>
          <w:rFonts w:cs="Arial"/>
          <w:i/>
          <w:iCs/>
          <w:sz w:val="20"/>
          <w:szCs w:val="20"/>
        </w:rPr>
        <w:t xml:space="preserve">, a su representante o apoderado, o a la persona debidamente autorizada por el interesado para notificarse”. </w:t>
      </w:r>
    </w:p>
    <w:p w:rsidR="00035028" w:rsidRPr="00DE6DED" w:rsidRDefault="00035028" w:rsidP="00035028">
      <w:pPr>
        <w:jc w:val="both"/>
        <w:rPr>
          <w:rFonts w:cs="Arial"/>
          <w:sz w:val="14"/>
          <w:szCs w:val="22"/>
        </w:rPr>
      </w:pPr>
    </w:p>
    <w:p w:rsidR="00035028" w:rsidRDefault="00035028" w:rsidP="00035028">
      <w:pPr>
        <w:jc w:val="both"/>
        <w:rPr>
          <w:rFonts w:cs="Arial"/>
          <w:sz w:val="22"/>
          <w:szCs w:val="22"/>
        </w:rPr>
      </w:pPr>
      <w:r w:rsidRPr="00931937">
        <w:rPr>
          <w:rFonts w:cs="Arial"/>
          <w:sz w:val="22"/>
          <w:szCs w:val="22"/>
        </w:rPr>
        <w:t xml:space="preserve">Así es que, ya habiendo revisado la norma, la doctrina y la jurisprudencia, podemos tener un grado de certeza frente a que la notificación del auto de formulación de cargos debía realizarse de manera personal </w:t>
      </w:r>
      <w:r>
        <w:rPr>
          <w:rFonts w:cs="Arial"/>
          <w:sz w:val="22"/>
          <w:szCs w:val="22"/>
        </w:rPr>
        <w:t xml:space="preserve">a la </w:t>
      </w:r>
      <w:r w:rsidR="00DB45F2">
        <w:rPr>
          <w:rFonts w:cs="Arial"/>
          <w:sz w:val="22"/>
          <w:szCs w:val="22"/>
        </w:rPr>
        <w:t>sociedad</w:t>
      </w:r>
      <w:r w:rsidR="00DB45F2" w:rsidRPr="00931937">
        <w:rPr>
          <w:rFonts w:cs="Arial"/>
          <w:sz w:val="22"/>
          <w:szCs w:val="22"/>
        </w:rPr>
        <w:t xml:space="preserve"> </w:t>
      </w:r>
      <w:r w:rsidR="00DB45F2">
        <w:rPr>
          <w:rFonts w:cs="Arial"/>
          <w:sz w:val="22"/>
          <w:szCs w:val="22"/>
        </w:rPr>
        <w:t>TRAFALGAR HOLDINGS DE COLOMBIA SAS / BODYBRITE EL LAGO identificado con NIT. 901.303.792-4 sin código de prestador</w:t>
      </w:r>
      <w:r w:rsidRPr="00931937">
        <w:rPr>
          <w:rFonts w:cs="Arial"/>
          <w:sz w:val="22"/>
          <w:szCs w:val="22"/>
        </w:rPr>
        <w:t>, esto era, por el debido procedimiento ya indicado dispuesto en los artículos 6</w:t>
      </w:r>
      <w:r>
        <w:rPr>
          <w:rFonts w:cs="Arial"/>
          <w:sz w:val="22"/>
          <w:szCs w:val="22"/>
        </w:rPr>
        <w:t>7</w:t>
      </w:r>
      <w:r w:rsidRPr="00931937">
        <w:rPr>
          <w:rFonts w:cs="Arial"/>
          <w:sz w:val="22"/>
          <w:szCs w:val="22"/>
        </w:rPr>
        <w:t xml:space="preserve"> y siguientes de la Ley 1437 de 2011.</w:t>
      </w:r>
      <w:r>
        <w:rPr>
          <w:rFonts w:cs="Arial"/>
          <w:sz w:val="22"/>
          <w:szCs w:val="22"/>
        </w:rPr>
        <w:t xml:space="preserve">      </w:t>
      </w:r>
      <w:r w:rsidR="00DB45F2">
        <w:rPr>
          <w:rFonts w:cs="Arial"/>
          <w:sz w:val="22"/>
          <w:szCs w:val="22"/>
        </w:rPr>
        <w:t xml:space="preserve"> </w:t>
      </w:r>
    </w:p>
    <w:p w:rsidR="00035028" w:rsidRPr="00931937" w:rsidRDefault="00035028" w:rsidP="00035028">
      <w:pPr>
        <w:jc w:val="both"/>
        <w:rPr>
          <w:rFonts w:cs="Arial"/>
          <w:sz w:val="22"/>
          <w:szCs w:val="22"/>
        </w:rPr>
      </w:pPr>
      <w:r>
        <w:rPr>
          <w:rFonts w:cs="Arial"/>
          <w:sz w:val="22"/>
          <w:szCs w:val="22"/>
        </w:rPr>
        <w:t xml:space="preserve">         </w:t>
      </w:r>
    </w:p>
    <w:p w:rsidR="00035028" w:rsidRDefault="00035028" w:rsidP="00035028">
      <w:pPr>
        <w:jc w:val="both"/>
        <w:rPr>
          <w:rFonts w:cs="Arial"/>
          <w:sz w:val="22"/>
          <w:szCs w:val="22"/>
        </w:rPr>
      </w:pPr>
      <w:r w:rsidRPr="00931937">
        <w:rPr>
          <w:rFonts w:cs="Arial"/>
          <w:sz w:val="22"/>
          <w:szCs w:val="22"/>
        </w:rPr>
        <w:t xml:space="preserve">Por lo anterior, se observa que en la actuación administrativa se ha vulnerado el debido proceso, por no haberse seguido las formalidades procesales conforme lo señalado por el Código de Procedimiento Administrativo y de lo Contencioso Administrativo. Además, es de tener en cuenta y reiterar que el acto de </w:t>
      </w:r>
      <w:r w:rsidRPr="00931937">
        <w:rPr>
          <w:rFonts w:cs="Arial"/>
          <w:b/>
          <w:sz w:val="22"/>
          <w:szCs w:val="22"/>
        </w:rPr>
        <w:t>notificación</w:t>
      </w:r>
      <w:r w:rsidRPr="00931937">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rsidR="00035028" w:rsidRPr="00931937" w:rsidRDefault="00035028" w:rsidP="00035028">
      <w:pPr>
        <w:jc w:val="both"/>
        <w:rPr>
          <w:rFonts w:cs="Arial"/>
          <w:sz w:val="22"/>
          <w:szCs w:val="22"/>
        </w:rPr>
      </w:pPr>
    </w:p>
    <w:p w:rsidR="00035028" w:rsidRPr="00931937" w:rsidRDefault="00035028" w:rsidP="00035028">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Sentencia C - 610 de 2012; en el sentido de definir que esta doble categoría está compuesta por los principios propios del debido proceso, como por ejemplo, el derecho a la 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rsidR="00035028" w:rsidRPr="00931937" w:rsidRDefault="00035028" w:rsidP="00035028">
      <w:pPr>
        <w:jc w:val="both"/>
        <w:rPr>
          <w:rFonts w:cs="Arial"/>
          <w:sz w:val="22"/>
          <w:szCs w:val="22"/>
        </w:rPr>
      </w:pPr>
    </w:p>
    <w:p w:rsidR="00035028" w:rsidRPr="00931937" w:rsidRDefault="00035028" w:rsidP="00035028">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Pr="00931937">
        <w:rPr>
          <w:rFonts w:cs="Arial"/>
          <w:i/>
          <w:sz w:val="22"/>
          <w:szCs w:val="22"/>
        </w:rPr>
        <w:t>“</w:t>
      </w:r>
      <w:r w:rsidRPr="00931937">
        <w:rPr>
          <w:rFonts w:cs="Arial"/>
          <w:b/>
          <w:bCs/>
          <w:i/>
          <w:sz w:val="22"/>
          <w:szCs w:val="22"/>
        </w:rPr>
        <w:t>la manifestación unilateral de la administración, tendiente a crear, modificar, o extinguir situaciones jurídicas</w:t>
      </w:r>
      <w:r w:rsidRPr="00931937">
        <w:rPr>
          <w:rFonts w:cs="Arial"/>
          <w:i/>
          <w:sz w:val="22"/>
          <w:szCs w:val="22"/>
        </w:rPr>
        <w:t>”</w:t>
      </w:r>
      <w:r w:rsidRPr="00931937">
        <w:rPr>
          <w:rFonts w:cs="Arial"/>
          <w:sz w:val="22"/>
          <w:szCs w:val="22"/>
        </w:rPr>
        <w:t xml:space="preserve"> como lo es el hecho de imponer una sanción atendiendo al interés general y en cumplimiento de los fines esenciales del Estado.</w:t>
      </w:r>
    </w:p>
    <w:p w:rsidR="00035028" w:rsidRPr="00931937" w:rsidRDefault="00035028" w:rsidP="00035028">
      <w:pPr>
        <w:jc w:val="both"/>
        <w:rPr>
          <w:rFonts w:cs="Arial"/>
          <w:sz w:val="22"/>
          <w:szCs w:val="22"/>
        </w:rPr>
      </w:pPr>
    </w:p>
    <w:p w:rsidR="00035028" w:rsidRPr="00931937" w:rsidRDefault="00035028" w:rsidP="00035028">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rsidR="00035028" w:rsidRPr="00931937" w:rsidRDefault="00035028" w:rsidP="00035028">
      <w:pPr>
        <w:jc w:val="both"/>
        <w:rPr>
          <w:rFonts w:cs="Arial"/>
          <w:sz w:val="22"/>
          <w:szCs w:val="22"/>
        </w:rPr>
      </w:pPr>
    </w:p>
    <w:p w:rsidR="00035028" w:rsidRPr="00931937" w:rsidRDefault="00035028" w:rsidP="00035028">
      <w:pPr>
        <w:jc w:val="both"/>
        <w:rPr>
          <w:rFonts w:cs="Arial"/>
          <w:sz w:val="22"/>
          <w:szCs w:val="22"/>
        </w:rPr>
      </w:pPr>
      <w:r w:rsidRPr="00931937">
        <w:rPr>
          <w:rFonts w:cs="Arial"/>
          <w:sz w:val="22"/>
          <w:szCs w:val="22"/>
        </w:rPr>
        <w:t xml:space="preserve">Por otro lado,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 En este estado de la actuación es necesario precisar sobre la obligatoriedad del procedimiento establecido en 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rsidR="00035028" w:rsidRPr="00931937" w:rsidRDefault="00035028" w:rsidP="00035028">
      <w:pPr>
        <w:jc w:val="both"/>
        <w:rPr>
          <w:rFonts w:cs="Arial"/>
          <w:sz w:val="22"/>
          <w:szCs w:val="22"/>
        </w:rPr>
      </w:pPr>
    </w:p>
    <w:p w:rsidR="00035028" w:rsidRPr="00931937" w:rsidRDefault="00035028" w:rsidP="00035028">
      <w:pPr>
        <w:jc w:val="both"/>
        <w:rPr>
          <w:rFonts w:cs="Arial"/>
          <w:i/>
          <w:sz w:val="22"/>
          <w:szCs w:val="22"/>
        </w:rPr>
      </w:pPr>
      <w:r w:rsidRPr="00931937">
        <w:rPr>
          <w:rFonts w:cs="Arial"/>
          <w:sz w:val="22"/>
          <w:szCs w:val="22"/>
        </w:rPr>
        <w:t xml:space="preserve">De acuerdo a lo mencionado, este operador administrativo 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31937">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rsidR="00035028" w:rsidRPr="00931937" w:rsidRDefault="00035028" w:rsidP="00035028">
      <w:pPr>
        <w:jc w:val="both"/>
        <w:rPr>
          <w:rFonts w:cs="Arial"/>
          <w:i/>
          <w:sz w:val="22"/>
          <w:szCs w:val="22"/>
        </w:rPr>
      </w:pPr>
    </w:p>
    <w:p w:rsidR="00035028" w:rsidRPr="00931937" w:rsidRDefault="00035028" w:rsidP="00035028">
      <w:pPr>
        <w:jc w:val="both"/>
        <w:rPr>
          <w:rFonts w:cs="Arial"/>
          <w:sz w:val="22"/>
          <w:szCs w:val="22"/>
        </w:rPr>
      </w:pPr>
      <w:r w:rsidRPr="00931937">
        <w:rPr>
          <w:rFonts w:cs="Arial"/>
          <w:sz w:val="22"/>
          <w:szCs w:val="22"/>
        </w:rPr>
        <w:t xml:space="preserve">En conclusión, las anteriores motivaciones previo a adoptar la decisión que en derecho corresponde, se realizaron con base en los documentos y probanzas que se encuentran en el expediente administrativo </w:t>
      </w:r>
      <w:r>
        <w:rPr>
          <w:rFonts w:cs="Arial"/>
          <w:sz w:val="22"/>
          <w:szCs w:val="22"/>
        </w:rPr>
        <w:t>258-2021</w:t>
      </w:r>
      <w:r w:rsidRPr="00931937">
        <w:rPr>
          <w:rFonts w:cs="Arial"/>
          <w:sz w:val="22"/>
          <w:szCs w:val="22"/>
        </w:rPr>
        <w:t xml:space="preserve">. </w:t>
      </w:r>
    </w:p>
    <w:p w:rsidR="00035028" w:rsidRPr="00931937" w:rsidRDefault="00035028" w:rsidP="00035028">
      <w:pPr>
        <w:jc w:val="both"/>
        <w:rPr>
          <w:rFonts w:cs="Arial"/>
          <w:sz w:val="22"/>
          <w:szCs w:val="22"/>
        </w:rPr>
      </w:pPr>
    </w:p>
    <w:p w:rsidR="00035028" w:rsidRPr="00931937" w:rsidRDefault="00035028" w:rsidP="00035028">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rsidR="00035028" w:rsidRDefault="00035028" w:rsidP="00035028">
      <w:pPr>
        <w:jc w:val="both"/>
        <w:rPr>
          <w:rFonts w:cs="Arial"/>
          <w:sz w:val="22"/>
          <w:szCs w:val="22"/>
        </w:rPr>
      </w:pPr>
    </w:p>
    <w:p w:rsidR="00035028" w:rsidRPr="0039146F" w:rsidRDefault="00035028" w:rsidP="00035028">
      <w:pPr>
        <w:jc w:val="both"/>
        <w:rPr>
          <w:rFonts w:cs="Arial"/>
          <w:sz w:val="22"/>
          <w:szCs w:val="22"/>
        </w:rPr>
      </w:pPr>
      <w:r>
        <w:rPr>
          <w:rFonts w:cs="Arial"/>
          <w:sz w:val="22"/>
          <w:szCs w:val="22"/>
        </w:rPr>
        <w:t xml:space="preserve">(…) </w:t>
      </w:r>
      <w:r w:rsidRPr="00931937">
        <w:rPr>
          <w:rFonts w:cs="Arial"/>
          <w:sz w:val="22"/>
          <w:szCs w:val="22"/>
        </w:rPr>
        <w:t xml:space="preserve">“… </w:t>
      </w:r>
      <w:r w:rsidRPr="00931937">
        <w:rPr>
          <w:rFonts w:cs="Arial"/>
          <w:i/>
          <w:iCs/>
          <w:sz w:val="22"/>
          <w:szCs w:val="22"/>
        </w:rPr>
        <w:t>-. Cuando sea manifiesta su oposición a la Constitución Política o la Ley…” (…).</w:t>
      </w:r>
      <w:r>
        <w:rPr>
          <w:rFonts w:cs="Arial"/>
          <w:i/>
          <w:iCs/>
          <w:sz w:val="22"/>
          <w:szCs w:val="22"/>
        </w:rPr>
        <w:t xml:space="preserve"> </w:t>
      </w:r>
    </w:p>
    <w:p w:rsidR="00035028" w:rsidRPr="00931937" w:rsidRDefault="00035028" w:rsidP="00035028">
      <w:pPr>
        <w:ind w:left="284"/>
        <w:jc w:val="both"/>
        <w:rPr>
          <w:rFonts w:cs="Arial"/>
          <w:sz w:val="22"/>
          <w:szCs w:val="22"/>
        </w:rPr>
      </w:pPr>
    </w:p>
    <w:p w:rsidR="00035028" w:rsidRDefault="00035028" w:rsidP="00035028">
      <w:pPr>
        <w:jc w:val="both"/>
        <w:rPr>
          <w:rFonts w:cs="Arial"/>
          <w:sz w:val="22"/>
          <w:szCs w:val="22"/>
        </w:rPr>
      </w:pPr>
      <w:r w:rsidRPr="00931937">
        <w:rPr>
          <w:rFonts w:cs="Arial"/>
          <w:sz w:val="22"/>
          <w:szCs w:val="22"/>
        </w:rPr>
        <w:t xml:space="preserve">Conforme se desprende del análisis efectuado para el caso en particular, se ordenará la revocatoria de la Resolución No. </w:t>
      </w:r>
      <w:r w:rsidR="00626D46">
        <w:rPr>
          <w:rFonts w:cs="Arial"/>
          <w:sz w:val="22"/>
          <w:szCs w:val="22"/>
        </w:rPr>
        <w:t>261 del 31</w:t>
      </w:r>
      <w:r w:rsidR="00DB45F2">
        <w:rPr>
          <w:rFonts w:cs="Arial"/>
          <w:sz w:val="22"/>
          <w:szCs w:val="22"/>
        </w:rPr>
        <w:t xml:space="preserve"> </w:t>
      </w:r>
      <w:r>
        <w:rPr>
          <w:rFonts w:cs="Arial"/>
          <w:sz w:val="22"/>
          <w:szCs w:val="22"/>
        </w:rPr>
        <w:t>de enero de 2022</w:t>
      </w:r>
      <w:r w:rsidRPr="00931937">
        <w:rPr>
          <w:rFonts w:cs="Arial"/>
          <w:sz w:val="22"/>
          <w:szCs w:val="22"/>
        </w:rPr>
        <w:t xml:space="preserve">, mediante la cual la Subdirección de Inspección, Vigilancia y Control de Servicios de Salud de la Secretaría Distrital de Salud decidió imponer sanción a </w:t>
      </w:r>
      <w:r>
        <w:rPr>
          <w:rFonts w:cs="Arial"/>
          <w:sz w:val="22"/>
          <w:szCs w:val="22"/>
        </w:rPr>
        <w:t xml:space="preserve">la </w:t>
      </w:r>
      <w:r w:rsidR="00DB45F2">
        <w:rPr>
          <w:rFonts w:cs="Arial"/>
          <w:sz w:val="22"/>
          <w:szCs w:val="22"/>
        </w:rPr>
        <w:t>sociedad</w:t>
      </w:r>
      <w:r w:rsidR="00DB45F2" w:rsidRPr="00931937">
        <w:rPr>
          <w:rFonts w:cs="Arial"/>
          <w:sz w:val="22"/>
          <w:szCs w:val="22"/>
        </w:rPr>
        <w:t xml:space="preserve"> </w:t>
      </w:r>
      <w:r w:rsidR="00DB45F2">
        <w:rPr>
          <w:rFonts w:cs="Arial"/>
          <w:sz w:val="22"/>
          <w:szCs w:val="22"/>
        </w:rPr>
        <w:t>TRAFALGAR HOLDINGS DE COLOMBIA SAS / BODYBRITE EL LAGO identificado con NIT. 901.303.792-4 sin código de prestador</w:t>
      </w:r>
      <w:r>
        <w:rPr>
          <w:rFonts w:cs="Arial"/>
          <w:sz w:val="22"/>
          <w:szCs w:val="22"/>
        </w:rPr>
        <w:t xml:space="preserve">.   </w:t>
      </w:r>
      <w:r w:rsidR="00DB45F2">
        <w:rPr>
          <w:rFonts w:cs="Arial"/>
          <w:sz w:val="22"/>
          <w:szCs w:val="22"/>
        </w:rPr>
        <w:t xml:space="preserve"> </w:t>
      </w:r>
    </w:p>
    <w:p w:rsidR="00035028" w:rsidRPr="00931937" w:rsidRDefault="00035028" w:rsidP="00035028">
      <w:pPr>
        <w:jc w:val="both"/>
        <w:rPr>
          <w:rFonts w:cs="Arial"/>
          <w:sz w:val="20"/>
          <w:szCs w:val="20"/>
        </w:rPr>
      </w:pPr>
    </w:p>
    <w:p w:rsidR="00035028" w:rsidRDefault="00035028" w:rsidP="00035028">
      <w:pPr>
        <w:spacing w:after="236"/>
        <w:jc w:val="both"/>
        <w:rPr>
          <w:rFonts w:cs="Arial"/>
          <w:sz w:val="22"/>
          <w:szCs w:val="22"/>
        </w:rPr>
      </w:pPr>
      <w:r w:rsidRPr="00931937">
        <w:rPr>
          <w:rFonts w:cs="Arial"/>
          <w:sz w:val="22"/>
          <w:szCs w:val="22"/>
        </w:rPr>
        <w:t xml:space="preserve">En mérito de Io expuesto, este Despacho, </w:t>
      </w:r>
      <w:r>
        <w:rPr>
          <w:rFonts w:cs="Arial"/>
          <w:sz w:val="22"/>
          <w:szCs w:val="22"/>
        </w:rPr>
        <w:t xml:space="preserve"> </w:t>
      </w:r>
    </w:p>
    <w:p w:rsidR="00035028" w:rsidRPr="00931937" w:rsidRDefault="00035028" w:rsidP="00035028">
      <w:pPr>
        <w:jc w:val="center"/>
        <w:rPr>
          <w:rFonts w:cs="Arial"/>
          <w:b/>
          <w:bCs/>
          <w:sz w:val="22"/>
          <w:szCs w:val="22"/>
        </w:rPr>
      </w:pPr>
      <w:r w:rsidRPr="00931937">
        <w:rPr>
          <w:rFonts w:cs="Arial"/>
          <w:b/>
          <w:bCs/>
          <w:sz w:val="22"/>
          <w:szCs w:val="22"/>
        </w:rPr>
        <w:t>RESUELVE:</w:t>
      </w:r>
      <w:r>
        <w:rPr>
          <w:rFonts w:cs="Arial"/>
          <w:b/>
          <w:bCs/>
          <w:sz w:val="22"/>
          <w:szCs w:val="22"/>
        </w:rPr>
        <w:t xml:space="preserve"> </w:t>
      </w:r>
    </w:p>
    <w:p w:rsidR="00035028" w:rsidRPr="00931937" w:rsidRDefault="00035028" w:rsidP="00035028">
      <w:pPr>
        <w:ind w:right="240"/>
        <w:jc w:val="both"/>
        <w:rPr>
          <w:rFonts w:cs="Arial"/>
          <w:b/>
          <w:bCs/>
          <w:sz w:val="22"/>
          <w:szCs w:val="22"/>
        </w:rPr>
      </w:pPr>
    </w:p>
    <w:p w:rsidR="00035028" w:rsidRPr="00931937" w:rsidRDefault="00035028" w:rsidP="00035028">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Pr="00931937">
        <w:rPr>
          <w:rFonts w:cs="Arial"/>
          <w:bCs/>
          <w:sz w:val="22"/>
          <w:szCs w:val="22"/>
        </w:rPr>
        <w:t>íntegramente</w:t>
      </w:r>
      <w:r w:rsidRPr="00931937">
        <w:rPr>
          <w:rFonts w:cs="Arial"/>
          <w:b/>
          <w:sz w:val="22"/>
          <w:szCs w:val="22"/>
        </w:rPr>
        <w:t xml:space="preserve"> </w:t>
      </w:r>
      <w:r w:rsidRPr="00931937">
        <w:rPr>
          <w:rFonts w:cs="Arial"/>
          <w:sz w:val="22"/>
          <w:szCs w:val="22"/>
        </w:rPr>
        <w:t xml:space="preserve">la Resolución No. </w:t>
      </w:r>
      <w:r w:rsidR="00626D46">
        <w:rPr>
          <w:rFonts w:cs="Arial"/>
          <w:sz w:val="22"/>
          <w:szCs w:val="22"/>
        </w:rPr>
        <w:t>261 del 31</w:t>
      </w:r>
      <w:r>
        <w:rPr>
          <w:rFonts w:cs="Arial"/>
          <w:sz w:val="22"/>
          <w:szCs w:val="22"/>
        </w:rPr>
        <w:t>de enero de 2022</w:t>
      </w:r>
      <w:r w:rsidRPr="00931937">
        <w:rPr>
          <w:rFonts w:cs="Arial"/>
          <w:sz w:val="22"/>
          <w:szCs w:val="22"/>
        </w:rPr>
        <w:t xml:space="preserve">, emitida por la Subdirección de Inspección, Vigilancia y Control de Servicios de Salud de la SDS, que </w:t>
      </w:r>
      <w:r w:rsidRPr="00931937">
        <w:rPr>
          <w:rFonts w:cs="Arial"/>
          <w:sz w:val="22"/>
          <w:szCs w:val="22"/>
        </w:rPr>
        <w:lastRenderedPageBreak/>
        <w:t xml:space="preserve">impuso sanción </w:t>
      </w:r>
      <w:r w:rsidRPr="00931937">
        <w:rPr>
          <w:rFonts w:cs="Arial"/>
          <w:bCs/>
          <w:sz w:val="22"/>
          <w:szCs w:val="22"/>
        </w:rPr>
        <w:t xml:space="preserve">consistente en multa </w:t>
      </w:r>
      <w:r w:rsidRPr="00931937">
        <w:rPr>
          <w:rFonts w:cs="Arial"/>
          <w:sz w:val="22"/>
          <w:szCs w:val="22"/>
        </w:rPr>
        <w:t xml:space="preserve">de </w:t>
      </w:r>
      <w:r w:rsidR="00DB45F2">
        <w:rPr>
          <w:rFonts w:cs="Arial"/>
          <w:sz w:val="22"/>
          <w:szCs w:val="22"/>
        </w:rPr>
        <w:t>dos (2)</w:t>
      </w:r>
      <w:r>
        <w:rPr>
          <w:rFonts w:cs="Arial"/>
          <w:sz w:val="22"/>
          <w:szCs w:val="22"/>
        </w:rPr>
        <w:t xml:space="preserve"> salarios </w:t>
      </w:r>
      <w:r w:rsidRPr="00931937">
        <w:rPr>
          <w:rFonts w:cs="Arial"/>
          <w:sz w:val="22"/>
          <w:szCs w:val="22"/>
        </w:rPr>
        <w:t>mínimos legales mensuales vigentes para el año 202</w:t>
      </w:r>
      <w:r>
        <w:rPr>
          <w:rFonts w:cs="Arial"/>
          <w:sz w:val="22"/>
          <w:szCs w:val="22"/>
        </w:rPr>
        <w:t>2</w:t>
      </w:r>
      <w:r w:rsidRPr="00931937">
        <w:rPr>
          <w:rFonts w:cs="Arial"/>
          <w:sz w:val="22"/>
          <w:szCs w:val="22"/>
        </w:rPr>
        <w:t xml:space="preserve">, equivalentes a la suma de </w:t>
      </w:r>
      <w:r w:rsidR="00DB45F2">
        <w:rPr>
          <w:rFonts w:cs="Arial"/>
          <w:sz w:val="22"/>
          <w:szCs w:val="22"/>
        </w:rPr>
        <w:t>DOS</w:t>
      </w:r>
      <w:r>
        <w:rPr>
          <w:rFonts w:cs="Arial"/>
          <w:sz w:val="22"/>
          <w:szCs w:val="22"/>
        </w:rPr>
        <w:t xml:space="preserve"> MILLONES DE </w:t>
      </w:r>
      <w:r w:rsidRPr="00931937">
        <w:rPr>
          <w:rFonts w:cs="Arial"/>
          <w:sz w:val="22"/>
          <w:szCs w:val="22"/>
        </w:rPr>
        <w:t xml:space="preserve">PESOS </w:t>
      </w:r>
      <w:r w:rsidRPr="00C05D68">
        <w:rPr>
          <w:rFonts w:cs="Arial"/>
          <w:sz w:val="22"/>
          <w:szCs w:val="22"/>
        </w:rPr>
        <w:t>M</w:t>
      </w:r>
      <w:r>
        <w:rPr>
          <w:rFonts w:cs="Arial"/>
          <w:sz w:val="22"/>
          <w:szCs w:val="22"/>
        </w:rPr>
        <w:t>/</w:t>
      </w:r>
      <w:r w:rsidRPr="00C05D68">
        <w:rPr>
          <w:rFonts w:cs="Arial"/>
          <w:sz w:val="22"/>
          <w:szCs w:val="22"/>
        </w:rPr>
        <w:t>CTE</w:t>
      </w:r>
      <w:r w:rsidRPr="00931937">
        <w:rPr>
          <w:rFonts w:cs="Arial"/>
          <w:sz w:val="22"/>
          <w:szCs w:val="22"/>
        </w:rPr>
        <w:t xml:space="preserve"> ($</w:t>
      </w:r>
      <w:r w:rsidR="00DB45F2">
        <w:rPr>
          <w:rFonts w:cs="Arial"/>
          <w:sz w:val="22"/>
          <w:szCs w:val="22"/>
        </w:rPr>
        <w:t>2</w:t>
      </w:r>
      <w:r>
        <w:rPr>
          <w:rFonts w:cs="Arial"/>
          <w:sz w:val="22"/>
          <w:szCs w:val="22"/>
        </w:rPr>
        <w:t>.000.000</w:t>
      </w:r>
      <w:r w:rsidRPr="00931937">
        <w:rPr>
          <w:rFonts w:cs="Arial"/>
          <w:sz w:val="22"/>
          <w:szCs w:val="22"/>
        </w:rPr>
        <w:t>)</w:t>
      </w:r>
      <w:r>
        <w:rPr>
          <w:rFonts w:cs="Arial"/>
          <w:sz w:val="22"/>
          <w:szCs w:val="22"/>
        </w:rPr>
        <w:t xml:space="preserve">, </w:t>
      </w:r>
      <w:r w:rsidRPr="00931937">
        <w:rPr>
          <w:rFonts w:cs="Arial"/>
          <w:sz w:val="22"/>
          <w:szCs w:val="22"/>
        </w:rPr>
        <w:t xml:space="preserve">a </w:t>
      </w:r>
      <w:r>
        <w:rPr>
          <w:rFonts w:cs="Arial"/>
          <w:sz w:val="22"/>
          <w:szCs w:val="22"/>
        </w:rPr>
        <w:t xml:space="preserve">la </w:t>
      </w:r>
      <w:r w:rsidR="00DB45F2">
        <w:rPr>
          <w:rFonts w:cs="Arial"/>
          <w:sz w:val="22"/>
          <w:szCs w:val="22"/>
        </w:rPr>
        <w:t>sociedad</w:t>
      </w:r>
      <w:r w:rsidR="00DB45F2" w:rsidRPr="00931937">
        <w:rPr>
          <w:rFonts w:cs="Arial"/>
          <w:sz w:val="22"/>
          <w:szCs w:val="22"/>
        </w:rPr>
        <w:t xml:space="preserve"> </w:t>
      </w:r>
      <w:r w:rsidR="00DB45F2">
        <w:rPr>
          <w:rFonts w:cs="Arial"/>
          <w:sz w:val="22"/>
          <w:szCs w:val="22"/>
        </w:rPr>
        <w:t>TRAFALGAR HOLDINGS DE COLOMBIA SAS / BODYBRITE EL LAGO identificado con NIT. 901.303.792-4 sin código de prestador</w:t>
      </w:r>
      <w:r w:rsidRPr="00931937">
        <w:rPr>
          <w:rFonts w:cs="Arial"/>
          <w:sz w:val="22"/>
          <w:szCs w:val="22"/>
        </w:rPr>
        <w:t>, de conformidad con lo expuesto en la parte motiva de este proveído.</w:t>
      </w:r>
      <w:r>
        <w:rPr>
          <w:rFonts w:cs="Arial"/>
          <w:sz w:val="22"/>
          <w:szCs w:val="22"/>
        </w:rPr>
        <w:t xml:space="preserve">          </w:t>
      </w:r>
      <w:r w:rsidR="00DB45F2">
        <w:rPr>
          <w:rFonts w:cs="Arial"/>
          <w:sz w:val="22"/>
          <w:szCs w:val="22"/>
        </w:rPr>
        <w:t xml:space="preserve"> </w:t>
      </w:r>
      <w:r w:rsidR="00312493">
        <w:rPr>
          <w:rFonts w:cs="Arial"/>
          <w:sz w:val="22"/>
          <w:szCs w:val="22"/>
        </w:rPr>
        <w:t xml:space="preserve"> </w:t>
      </w:r>
      <w:bookmarkStart w:id="6" w:name="_GoBack"/>
      <w:bookmarkEnd w:id="6"/>
      <w:r>
        <w:rPr>
          <w:rFonts w:cs="Arial"/>
          <w:sz w:val="22"/>
          <w:szCs w:val="22"/>
        </w:rPr>
        <w:t xml:space="preserve">             </w:t>
      </w:r>
      <w:r w:rsidRPr="00931937">
        <w:rPr>
          <w:rFonts w:cs="Arial"/>
          <w:sz w:val="22"/>
          <w:szCs w:val="22"/>
        </w:rPr>
        <w:t xml:space="preserve"> </w:t>
      </w:r>
      <w:r>
        <w:rPr>
          <w:rFonts w:cs="Arial"/>
          <w:sz w:val="22"/>
          <w:szCs w:val="22"/>
        </w:rPr>
        <w:t xml:space="preserve">   </w:t>
      </w:r>
      <w:r w:rsidRPr="00931937">
        <w:rPr>
          <w:rFonts w:cs="Arial"/>
          <w:sz w:val="22"/>
          <w:szCs w:val="22"/>
        </w:rPr>
        <w:t xml:space="preserve"> </w:t>
      </w:r>
      <w:r>
        <w:rPr>
          <w:rFonts w:cs="Arial"/>
          <w:sz w:val="22"/>
          <w:szCs w:val="22"/>
        </w:rPr>
        <w:t xml:space="preserve">   </w:t>
      </w:r>
    </w:p>
    <w:p w:rsidR="00035028" w:rsidRPr="00931937" w:rsidRDefault="00035028" w:rsidP="00035028">
      <w:pPr>
        <w:ind w:right="240"/>
        <w:jc w:val="both"/>
        <w:rPr>
          <w:rFonts w:cs="Arial"/>
          <w:sz w:val="22"/>
          <w:szCs w:val="22"/>
        </w:rPr>
      </w:pPr>
    </w:p>
    <w:p w:rsidR="00035028" w:rsidRPr="00931937" w:rsidRDefault="00035028" w:rsidP="00035028">
      <w:pPr>
        <w:ind w:left="20" w:right="20"/>
        <w:jc w:val="both"/>
        <w:rPr>
          <w:rFonts w:cs="Arial"/>
          <w:sz w:val="22"/>
          <w:szCs w:val="22"/>
        </w:rPr>
      </w:pPr>
      <w:r w:rsidRPr="00931937">
        <w:rPr>
          <w:rFonts w:cs="Arial"/>
          <w:b/>
          <w:bCs/>
          <w:sz w:val="22"/>
          <w:szCs w:val="22"/>
        </w:rPr>
        <w:t>ARTÍCULO SEGUNDO:</w:t>
      </w:r>
      <w:r w:rsidRPr="00931937">
        <w:rPr>
          <w:rFonts w:cs="Arial"/>
          <w:sz w:val="22"/>
          <w:szCs w:val="22"/>
        </w:rPr>
        <w:t xml:space="preserve"> </w:t>
      </w:r>
      <w:r w:rsidRPr="00931937">
        <w:rPr>
          <w:rFonts w:cs="Arial"/>
          <w:b/>
          <w:bCs/>
          <w:sz w:val="22"/>
          <w:szCs w:val="22"/>
        </w:rPr>
        <w:t>NOTIFICAR</w:t>
      </w:r>
      <w:r w:rsidRPr="00931937">
        <w:rPr>
          <w:rFonts w:cs="Arial"/>
          <w:sz w:val="22"/>
          <w:szCs w:val="22"/>
        </w:rPr>
        <w:t xml:space="preserve"> del contenido de esta resolución a la parte investigada y a la tercera interviniente, haciéndoles saber que contra la presente decisión no procede recurso alguno</w:t>
      </w:r>
      <w:r>
        <w:rPr>
          <w:rFonts w:cs="Arial"/>
          <w:sz w:val="22"/>
          <w:szCs w:val="22"/>
        </w:rPr>
        <w:t xml:space="preserve">. </w:t>
      </w:r>
    </w:p>
    <w:p w:rsidR="00035028" w:rsidRPr="00931937" w:rsidRDefault="00035028" w:rsidP="00035028">
      <w:pPr>
        <w:ind w:left="20" w:right="20"/>
        <w:jc w:val="both"/>
        <w:rPr>
          <w:rFonts w:cs="Arial"/>
          <w:sz w:val="22"/>
          <w:szCs w:val="22"/>
        </w:rPr>
      </w:pPr>
    </w:p>
    <w:p w:rsidR="00035028" w:rsidRDefault="00035028" w:rsidP="00035028">
      <w:pPr>
        <w:ind w:left="20" w:right="20"/>
        <w:jc w:val="both"/>
        <w:rPr>
          <w:rFonts w:cs="Arial"/>
          <w:sz w:val="22"/>
          <w:szCs w:val="22"/>
        </w:rPr>
      </w:pPr>
      <w:r w:rsidRPr="00931937">
        <w:rPr>
          <w:rFonts w:cs="Arial"/>
          <w:b/>
          <w:bCs/>
          <w:sz w:val="22"/>
          <w:szCs w:val="22"/>
        </w:rPr>
        <w:t>PARÁGRAFO:</w:t>
      </w:r>
      <w:r w:rsidRPr="00931937">
        <w:rPr>
          <w:rFonts w:cs="Arial"/>
          <w:sz w:val="22"/>
          <w:szCs w:val="22"/>
        </w:rPr>
        <w:t xml:space="preserve"> Si no fuere posible notificar personalmente dentro del término legal previsto, deberá hacerse conforme a lo establecido en el Código de Procedimiento Administrativo y de lo Contencioso Administrativo - CPACA.</w:t>
      </w:r>
    </w:p>
    <w:p w:rsidR="00035028" w:rsidRPr="00931937" w:rsidRDefault="00035028" w:rsidP="00035028">
      <w:pPr>
        <w:ind w:left="20" w:right="20"/>
        <w:jc w:val="both"/>
        <w:rPr>
          <w:rFonts w:cs="Arial"/>
          <w:sz w:val="22"/>
          <w:szCs w:val="22"/>
        </w:rPr>
      </w:pPr>
    </w:p>
    <w:p w:rsidR="00035028" w:rsidRPr="00931937" w:rsidRDefault="00035028" w:rsidP="00035028">
      <w:pPr>
        <w:ind w:left="20" w:right="20"/>
        <w:jc w:val="both"/>
        <w:rPr>
          <w:rFonts w:cs="Arial"/>
          <w:sz w:val="22"/>
          <w:szCs w:val="22"/>
        </w:rPr>
      </w:pPr>
      <w:r w:rsidRPr="00931937">
        <w:rPr>
          <w:rFonts w:cs="Arial"/>
          <w:b/>
          <w:bCs/>
          <w:sz w:val="22"/>
          <w:szCs w:val="22"/>
        </w:rPr>
        <w:t>ARTICULO TERCERO:</w:t>
      </w:r>
      <w:r w:rsidRPr="00931937">
        <w:rPr>
          <w:rFonts w:cs="Arial"/>
          <w:sz w:val="22"/>
          <w:szCs w:val="22"/>
        </w:rPr>
        <w:t xml:space="preserve"> </w:t>
      </w:r>
      <w:r w:rsidRPr="00931937">
        <w:rPr>
          <w:rFonts w:cs="Arial"/>
          <w:b/>
          <w:bCs/>
          <w:sz w:val="22"/>
          <w:szCs w:val="22"/>
        </w:rPr>
        <w:t>NOTIFICADA</w:t>
      </w:r>
      <w:r w:rsidRPr="00931937">
        <w:rPr>
          <w:rFonts w:cs="Arial"/>
          <w:sz w:val="22"/>
          <w:szCs w:val="22"/>
        </w:rPr>
        <w:t xml:space="preserve"> la presente providencia, se ordena devolver el expediente a la Subdirección de Inspección, Vigilancia y Control de Servicios de Salud de la Secretaría Distrital de Salud de Bogotá, para que continúe con el trámite legal a que haya lugar.</w:t>
      </w:r>
    </w:p>
    <w:p w:rsidR="00035028" w:rsidRPr="00931937" w:rsidRDefault="00035028" w:rsidP="00035028">
      <w:pPr>
        <w:jc w:val="both"/>
        <w:rPr>
          <w:rFonts w:cs="Arial"/>
          <w:b/>
          <w:bCs/>
          <w:sz w:val="22"/>
          <w:szCs w:val="22"/>
          <w:lang w:val="es-MX"/>
        </w:rPr>
      </w:pPr>
    </w:p>
    <w:p w:rsidR="00035028" w:rsidRPr="00931937" w:rsidRDefault="00035028" w:rsidP="00035028">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rsidR="00035028" w:rsidRPr="00931937" w:rsidRDefault="00035028" w:rsidP="00035028">
      <w:pPr>
        <w:jc w:val="center"/>
        <w:rPr>
          <w:rFonts w:cs="Arial"/>
          <w:sz w:val="22"/>
          <w:szCs w:val="22"/>
        </w:rPr>
      </w:pPr>
    </w:p>
    <w:p w:rsidR="00035028" w:rsidRPr="00227019" w:rsidRDefault="00035028" w:rsidP="00035028">
      <w:pPr>
        <w:jc w:val="center"/>
        <w:rPr>
          <w:rFonts w:cs="Arial"/>
          <w:b/>
          <w:bCs/>
          <w:sz w:val="16"/>
          <w:szCs w:val="22"/>
        </w:rPr>
      </w:pPr>
    </w:p>
    <w:p w:rsidR="00035028" w:rsidRPr="00931937" w:rsidRDefault="00035028" w:rsidP="00035028">
      <w:pPr>
        <w:jc w:val="center"/>
        <w:rPr>
          <w:rFonts w:cs="Arial"/>
          <w:b/>
          <w:bCs/>
          <w:sz w:val="22"/>
          <w:szCs w:val="22"/>
        </w:rPr>
      </w:pPr>
      <w:r w:rsidRPr="00931937">
        <w:rPr>
          <w:rFonts w:cs="Arial"/>
          <w:b/>
          <w:bCs/>
          <w:sz w:val="22"/>
          <w:szCs w:val="22"/>
        </w:rPr>
        <w:t>NOTIFÍQUESE Y CÚMPLASE.</w:t>
      </w:r>
    </w:p>
    <w:p w:rsidR="00035028" w:rsidRPr="00931937" w:rsidRDefault="00035028" w:rsidP="00035028">
      <w:pPr>
        <w:keepNext/>
        <w:outlineLvl w:val="1"/>
        <w:rPr>
          <w:rFonts w:cs="Arial"/>
          <w:noProof/>
          <w:sz w:val="22"/>
          <w:szCs w:val="22"/>
          <w:lang w:val="x-none" w:eastAsia="x-none"/>
        </w:rPr>
      </w:pPr>
    </w:p>
    <w:p w:rsidR="00035028" w:rsidRPr="00931937" w:rsidRDefault="00035028" w:rsidP="00035028">
      <w:pPr>
        <w:keepNext/>
        <w:outlineLvl w:val="1"/>
        <w:rPr>
          <w:rFonts w:cs="Arial"/>
          <w:noProof/>
          <w:sz w:val="22"/>
          <w:szCs w:val="22"/>
          <w:lang w:val="es-ES" w:eastAsia="x-none"/>
        </w:rPr>
      </w:pPr>
      <w:r w:rsidRPr="00931937">
        <w:rPr>
          <w:rFonts w:cs="Arial"/>
          <w:noProof/>
          <w:sz w:val="22"/>
          <w:szCs w:val="22"/>
          <w:lang w:val="x-none" w:eastAsia="x-none"/>
        </w:rPr>
        <w:t>Dada en Bogotá D.C., a los</w:t>
      </w:r>
      <w:r w:rsidRPr="00931937">
        <w:rPr>
          <w:rFonts w:cs="Arial"/>
          <w:noProof/>
          <w:sz w:val="22"/>
          <w:szCs w:val="22"/>
          <w:lang w:val="es-ES" w:eastAsia="x-none"/>
        </w:rPr>
        <w:t>:______________</w:t>
      </w:r>
    </w:p>
    <w:p w:rsidR="00035028" w:rsidRPr="00227019" w:rsidRDefault="00035028" w:rsidP="00035028">
      <w:pPr>
        <w:rPr>
          <w:rFonts w:cs="Arial"/>
          <w:sz w:val="18"/>
          <w:szCs w:val="22"/>
        </w:rPr>
      </w:pPr>
    </w:p>
    <w:p w:rsidR="00035028" w:rsidRPr="00227019" w:rsidRDefault="00035028" w:rsidP="00035028">
      <w:pPr>
        <w:rPr>
          <w:rFonts w:cs="Arial"/>
          <w:sz w:val="16"/>
          <w:szCs w:val="22"/>
        </w:rPr>
      </w:pPr>
    </w:p>
    <w:p w:rsidR="00035028" w:rsidRPr="00931937" w:rsidRDefault="00035028" w:rsidP="00035028">
      <w:pPr>
        <w:rPr>
          <w:rFonts w:cs="Arial"/>
          <w:sz w:val="22"/>
          <w:szCs w:val="22"/>
        </w:rPr>
      </w:pPr>
    </w:p>
    <w:p w:rsidR="00035028" w:rsidRDefault="00035028" w:rsidP="00035028">
      <w:pPr>
        <w:rPr>
          <w:rFonts w:cs="Arial"/>
          <w:sz w:val="22"/>
          <w:szCs w:val="22"/>
        </w:rPr>
      </w:pPr>
    </w:p>
    <w:p w:rsidR="00035028" w:rsidRDefault="00035028" w:rsidP="00035028">
      <w:pPr>
        <w:rPr>
          <w:rFonts w:cs="Arial"/>
          <w:sz w:val="22"/>
          <w:szCs w:val="22"/>
        </w:rPr>
      </w:pPr>
    </w:p>
    <w:p w:rsidR="00035028" w:rsidRPr="00931937" w:rsidRDefault="00035028" w:rsidP="00035028">
      <w:pPr>
        <w:rPr>
          <w:rFonts w:cs="Arial"/>
          <w:sz w:val="22"/>
          <w:szCs w:val="22"/>
        </w:rPr>
      </w:pPr>
    </w:p>
    <w:p w:rsidR="00035028" w:rsidRPr="00931937" w:rsidRDefault="00035028" w:rsidP="00035028">
      <w:pPr>
        <w:jc w:val="center"/>
        <w:rPr>
          <w:rFonts w:cs="Arial"/>
          <w:b/>
          <w:bCs/>
          <w:sz w:val="22"/>
          <w:szCs w:val="22"/>
        </w:rPr>
      </w:pPr>
      <w:r w:rsidRPr="00931937">
        <w:rPr>
          <w:rFonts w:cs="Arial"/>
          <w:b/>
          <w:bCs/>
          <w:sz w:val="22"/>
          <w:szCs w:val="22"/>
        </w:rPr>
        <w:t>GERSON ORLANDO BERMONT GALAVIS</w:t>
      </w:r>
    </w:p>
    <w:p w:rsidR="00035028" w:rsidRPr="00931937" w:rsidRDefault="00035028" w:rsidP="00035028">
      <w:pPr>
        <w:jc w:val="center"/>
        <w:rPr>
          <w:rFonts w:cs="Arial"/>
          <w:b/>
          <w:bCs/>
          <w:sz w:val="22"/>
          <w:szCs w:val="22"/>
        </w:rPr>
      </w:pPr>
      <w:r w:rsidRPr="00931937">
        <w:rPr>
          <w:rFonts w:cs="Arial"/>
          <w:b/>
          <w:bCs/>
          <w:sz w:val="22"/>
          <w:szCs w:val="22"/>
        </w:rPr>
        <w:t>Secretario Distrital de Salud</w:t>
      </w:r>
    </w:p>
    <w:p w:rsidR="00035028" w:rsidRPr="00931937" w:rsidRDefault="00035028" w:rsidP="00035028">
      <w:pPr>
        <w:rPr>
          <w:rFonts w:cs="Arial"/>
          <w:iCs/>
          <w:sz w:val="14"/>
          <w:szCs w:val="14"/>
        </w:rPr>
      </w:pPr>
    </w:p>
    <w:p w:rsidR="00035028" w:rsidRPr="00931937" w:rsidRDefault="00035028" w:rsidP="00035028">
      <w:pPr>
        <w:rPr>
          <w:rFonts w:cs="Arial"/>
          <w:iCs/>
          <w:sz w:val="14"/>
          <w:szCs w:val="14"/>
        </w:rPr>
      </w:pPr>
    </w:p>
    <w:p w:rsidR="00035028" w:rsidRPr="00931937" w:rsidRDefault="00035028" w:rsidP="00035028">
      <w:pPr>
        <w:rPr>
          <w:rFonts w:cs="Arial"/>
          <w:sz w:val="14"/>
          <w:szCs w:val="14"/>
        </w:rPr>
      </w:pPr>
      <w:r w:rsidRPr="00931937">
        <w:rPr>
          <w:rFonts w:cs="Arial"/>
          <w:iCs/>
          <w:sz w:val="14"/>
          <w:szCs w:val="14"/>
        </w:rPr>
        <w:t xml:space="preserve">Elaboró: Giovanny Fajardo Jiménez. </w:t>
      </w:r>
    </w:p>
    <w:p w:rsidR="00035028" w:rsidRPr="00931937" w:rsidRDefault="00035028" w:rsidP="00035028">
      <w:pPr>
        <w:rPr>
          <w:rFonts w:cs="Arial"/>
          <w:iCs/>
          <w:sz w:val="14"/>
          <w:szCs w:val="14"/>
        </w:rPr>
      </w:pPr>
      <w:r w:rsidRPr="00931937">
        <w:rPr>
          <w:rFonts w:cs="Arial"/>
          <w:iCs/>
          <w:sz w:val="14"/>
          <w:szCs w:val="14"/>
        </w:rPr>
        <w:t xml:space="preserve">Reviso: Julio Cesar Lozano Mier. </w:t>
      </w:r>
    </w:p>
    <w:p w:rsidR="00035028" w:rsidRPr="00931937" w:rsidRDefault="00035028" w:rsidP="00035028">
      <w:pPr>
        <w:rPr>
          <w:rFonts w:cs="Arial"/>
          <w:sz w:val="14"/>
          <w:szCs w:val="14"/>
        </w:rPr>
      </w:pPr>
      <w:r w:rsidRPr="00931937">
        <w:rPr>
          <w:rFonts w:cs="Arial"/>
          <w:iCs/>
          <w:sz w:val="14"/>
          <w:szCs w:val="14"/>
        </w:rPr>
        <w:t>Aprobó: Melissa Triana Luna.</w:t>
      </w:r>
      <w:r>
        <w:rPr>
          <w:rFonts w:cs="Arial"/>
          <w:iCs/>
          <w:sz w:val="14"/>
          <w:szCs w:val="14"/>
        </w:rPr>
        <w:t xml:space="preserve"> </w:t>
      </w:r>
    </w:p>
    <w:p w:rsidR="00CF0B7C" w:rsidRDefault="00CF0B7C"/>
    <w:sectPr w:rsidR="00CF0B7C" w:rsidSect="0039146F">
      <w:headerReference w:type="default" r:id="rId6"/>
      <w:footerReference w:type="even" r:id="rId7"/>
      <w:footerReference w:type="default" r:id="rId8"/>
      <w:headerReference w:type="first" r:id="rId9"/>
      <w:footerReference w:type="first" r:id="rId10"/>
      <w:pgSz w:w="12240" w:h="15840" w:code="1"/>
      <w:pgMar w:top="2268" w:right="1134" w:bottom="1418"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D46" w:rsidRDefault="00626D46" w:rsidP="00626D46">
      <w:r>
        <w:separator/>
      </w:r>
    </w:p>
  </w:endnote>
  <w:endnote w:type="continuationSeparator" w:id="0">
    <w:p w:rsidR="00626D46" w:rsidRDefault="00626D46" w:rsidP="0062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CE9" w:rsidRDefault="00626D8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A2CE9" w:rsidRDefault="00626D8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rsidR="00E76467" w:rsidRDefault="00626D88" w:rsidP="00053D59">
            <w:pPr>
              <w:pStyle w:val="Piedepgina"/>
              <w:tabs>
                <w:tab w:val="left" w:pos="3115"/>
                <w:tab w:val="right" w:pos="9972"/>
              </w:tabs>
              <w:rPr>
                <w:b/>
              </w:rPr>
            </w:pPr>
            <w:r>
              <w:rPr>
                <w:noProof/>
                <w:lang w:eastAsia="es-CO" w:bidi="ar-SA"/>
              </w:rPr>
              <w:drawing>
                <wp:anchor distT="0" distB="0" distL="114300" distR="114300" simplePos="0" relativeHeight="251661312" behindDoc="1" locked="0" layoutInCell="1" allowOverlap="1" wp14:anchorId="6C8967A7" wp14:editId="6E5A5445">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60288" behindDoc="1" locked="0" layoutInCell="1" allowOverlap="1" wp14:anchorId="1A5FDCC5" wp14:editId="6AA53539">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050321">
              <w:rPr>
                <w:noProof/>
                <w:sz w:val="18"/>
                <w:lang w:eastAsia="es-CO" w:bidi="ar-SA"/>
              </w:rPr>
              <w:drawing>
                <wp:anchor distT="0" distB="0" distL="114300" distR="114300" simplePos="0" relativeHeight="251659264" behindDoc="1" locked="0" layoutInCell="1" allowOverlap="1" wp14:anchorId="5EF7CCBB" wp14:editId="637619E4">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050321">
              <w:rPr>
                <w:sz w:val="18"/>
              </w:rPr>
              <w:t xml:space="preserve">Página </w:t>
            </w:r>
            <w:r w:rsidRPr="00050321">
              <w:rPr>
                <w:b/>
                <w:sz w:val="18"/>
              </w:rPr>
              <w:fldChar w:fldCharType="begin"/>
            </w:r>
            <w:r w:rsidRPr="00050321">
              <w:rPr>
                <w:b/>
                <w:sz w:val="18"/>
              </w:rPr>
              <w:instrText>PAGE</w:instrText>
            </w:r>
            <w:r w:rsidRPr="00050321">
              <w:rPr>
                <w:b/>
                <w:sz w:val="18"/>
              </w:rPr>
              <w:fldChar w:fldCharType="separate"/>
            </w:r>
            <w:r w:rsidR="00767785">
              <w:rPr>
                <w:b/>
                <w:noProof/>
                <w:sz w:val="18"/>
              </w:rPr>
              <w:t>8</w:t>
            </w:r>
            <w:r w:rsidRPr="00050321">
              <w:rPr>
                <w:b/>
                <w:sz w:val="18"/>
              </w:rPr>
              <w:fldChar w:fldCharType="end"/>
            </w:r>
            <w:r w:rsidRPr="00050321">
              <w:rPr>
                <w:sz w:val="18"/>
              </w:rPr>
              <w:t xml:space="preserve"> de </w:t>
            </w:r>
            <w:r w:rsidRPr="00050321">
              <w:rPr>
                <w:b/>
                <w:sz w:val="18"/>
              </w:rPr>
              <w:fldChar w:fldCharType="begin"/>
            </w:r>
            <w:r w:rsidRPr="00050321">
              <w:rPr>
                <w:b/>
                <w:sz w:val="18"/>
              </w:rPr>
              <w:instrText>NUMPAGES</w:instrText>
            </w:r>
            <w:r w:rsidRPr="00050321">
              <w:rPr>
                <w:b/>
                <w:sz w:val="18"/>
              </w:rPr>
              <w:fldChar w:fldCharType="separate"/>
            </w:r>
            <w:r w:rsidR="00767785">
              <w:rPr>
                <w:b/>
                <w:noProof/>
                <w:sz w:val="18"/>
              </w:rPr>
              <w:t>8</w:t>
            </w:r>
            <w:r w:rsidRPr="00050321">
              <w:rPr>
                <w:b/>
                <w:sz w:val="18"/>
              </w:rPr>
              <w:fldChar w:fldCharType="end"/>
            </w:r>
          </w:p>
          <w:p w:rsidR="006A2CE9" w:rsidRDefault="00626D88" w:rsidP="00053D59">
            <w:pPr>
              <w:pStyle w:val="Piedepgina"/>
              <w:tabs>
                <w:tab w:val="left" w:pos="3115"/>
                <w:tab w:val="right" w:pos="9972"/>
              </w:tabs>
            </w:pPr>
          </w:p>
        </w:sdtContent>
      </w:sdt>
    </w:sdtContent>
  </w:sdt>
  <w:p w:rsidR="006A2CE9" w:rsidRDefault="00626D88" w:rsidP="00A50908">
    <w:pPr>
      <w:pStyle w:val="Piedepgina"/>
      <w:ind w:right="360"/>
    </w:pPr>
    <w:r>
      <w:rPr>
        <w:noProof/>
        <w:lang w:eastAsia="es-CO" w:bidi="ar-SA"/>
      </w:rPr>
      <w:drawing>
        <wp:anchor distT="0" distB="0" distL="114300" distR="114300" simplePos="0" relativeHeight="251664384" behindDoc="1" locked="0" layoutInCell="1" allowOverlap="1" wp14:anchorId="44CC389D" wp14:editId="69A4B161">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63360" behindDoc="1" locked="0" layoutInCell="1" allowOverlap="1" wp14:anchorId="6E35C7FA" wp14:editId="2045B7AF">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A50908">
      <w:rPr>
        <w:noProof/>
        <w:lang w:eastAsia="es-CO" w:bidi="ar-SA"/>
      </w:rPr>
      <w:drawing>
        <wp:inline distT="0" distB="0" distL="0" distR="0" wp14:anchorId="2DA483C6" wp14:editId="1B601C8C">
          <wp:extent cx="6031865" cy="753071"/>
          <wp:effectExtent l="0" t="0" r="0" b="9525"/>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28426" cy="802581"/>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CE9" w:rsidRDefault="00626D88" w:rsidP="00A50908">
    <w:pPr>
      <w:pStyle w:val="Piedepgina"/>
    </w:pPr>
    <w:r w:rsidRPr="00A50908">
      <w:rPr>
        <w:noProof/>
        <w:lang w:eastAsia="es-CO" w:bidi="ar-SA"/>
      </w:rPr>
      <w:drawing>
        <wp:inline distT="0" distB="0" distL="0" distR="0" wp14:anchorId="5E01C2D7" wp14:editId="049C886D">
          <wp:extent cx="6238875" cy="772084"/>
          <wp:effectExtent l="0" t="0" r="0" b="9525"/>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3759" cy="790014"/>
                  </a:xfrm>
                  <a:prstGeom prst="rect">
                    <a:avLst/>
                  </a:prstGeom>
                  <a:noFill/>
                </pic:spPr>
              </pic:pic>
            </a:graphicData>
          </a:graphic>
        </wp:inline>
      </w:drawing>
    </w:r>
    <w:r>
      <w:rPr>
        <w:noProof/>
        <w:lang w:eastAsia="es-CO" w:bidi="ar-SA"/>
      </w:rPr>
      <w:drawing>
        <wp:anchor distT="0" distB="0" distL="114300" distR="114300" simplePos="0" relativeHeight="251662336" behindDoc="1" locked="0" layoutInCell="1" allowOverlap="1" wp14:anchorId="042A7AAB" wp14:editId="6CB0A705">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D46" w:rsidRDefault="00626D46" w:rsidP="00626D46">
      <w:r>
        <w:separator/>
      </w:r>
    </w:p>
  </w:footnote>
  <w:footnote w:type="continuationSeparator" w:id="0">
    <w:p w:rsidR="00626D46" w:rsidRDefault="00626D46" w:rsidP="00626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CE9" w:rsidRDefault="00626D88">
    <w:bookmarkStart w:id="7" w:name="_Hlk30415542"/>
    <w:r w:rsidRPr="000F5B56">
      <w:rPr>
        <w:noProof/>
        <w:lang w:eastAsia="es-CO" w:bidi="ar-SA"/>
      </w:rPr>
      <w:drawing>
        <wp:inline distT="0" distB="0" distL="0" distR="0" wp14:anchorId="482729AF" wp14:editId="2176FB0A">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7"/>
  </w:p>
  <w:p w:rsidR="0086361D" w:rsidRPr="002B11F0" w:rsidRDefault="00626D88" w:rsidP="00E50287">
    <w:pPr>
      <w:jc w:val="both"/>
      <w:rPr>
        <w:rFonts w:cs="Arial"/>
        <w:sz w:val="22"/>
        <w:szCs w:val="22"/>
      </w:rPr>
    </w:pPr>
    <w:r w:rsidRPr="00ED3A31">
      <w:rPr>
        <w:rFonts w:cs="Arial"/>
        <w:sz w:val="20"/>
        <w:szCs w:val="20"/>
      </w:rPr>
      <w:t>Continuación de la Resolución No. _________________ de fecha</w:t>
    </w:r>
    <w:r>
      <w:rPr>
        <w:rFonts w:cs="Arial"/>
        <w:sz w:val="20"/>
        <w:szCs w:val="20"/>
      </w:rPr>
      <w:t xml:space="preserve"> </w:t>
    </w:r>
    <w:r w:rsidRPr="00ED3A31">
      <w:rPr>
        <w:rFonts w:cs="Arial"/>
        <w:i/>
        <w:sz w:val="20"/>
        <w:szCs w:val="20"/>
      </w:rPr>
      <w:t>______________________</w:t>
    </w:r>
    <w:r>
      <w:rPr>
        <w:rFonts w:cs="Arial"/>
        <w:i/>
        <w:sz w:val="20"/>
        <w:szCs w:val="20"/>
      </w:rPr>
      <w:t xml:space="preserve"> </w:t>
    </w:r>
    <w:r w:rsidRPr="00ED3A31">
      <w:rPr>
        <w:rFonts w:cs="Arial"/>
        <w:i/>
        <w:sz w:val="20"/>
        <w:szCs w:val="20"/>
      </w:rPr>
      <w:t>“</w:t>
    </w:r>
    <w:r w:rsidR="00626D46" w:rsidRPr="00626D46">
      <w:rPr>
        <w:rFonts w:cs="Arial"/>
        <w:i/>
        <w:sz w:val="20"/>
        <w:szCs w:val="20"/>
      </w:rPr>
      <w:t>Por la cual se Revoca la Resolución No. 261 del 31</w:t>
    </w:r>
    <w:r w:rsidR="00223E4E">
      <w:rPr>
        <w:rFonts w:cs="Arial"/>
        <w:i/>
        <w:sz w:val="20"/>
        <w:szCs w:val="20"/>
      </w:rPr>
      <w:t xml:space="preserve"> </w:t>
    </w:r>
    <w:r w:rsidR="00626D46" w:rsidRPr="00626D46">
      <w:rPr>
        <w:rFonts w:cs="Arial"/>
        <w:i/>
        <w:sz w:val="20"/>
        <w:szCs w:val="20"/>
      </w:rPr>
      <w:t>de enero de 2022 proferida por la Subdirección de Inspección, Vigilancia y Control de Servicios de Salud, dentro de la Investigación Administrativa No. 258-2021</w:t>
    </w:r>
    <w:r w:rsidRPr="00ED3A31">
      <w:rPr>
        <w:rFonts w:cs="Arial"/>
        <w:i/>
        <w:sz w:val="20"/>
        <w:szCs w:val="20"/>
      </w:rPr>
      <w:t>”</w:t>
    </w:r>
    <w:r w:rsidRPr="00ED3A31">
      <w:rPr>
        <w:rFonts w:cs="Arial"/>
        <w:sz w:val="22"/>
        <w:szCs w:val="22"/>
      </w:rPr>
      <w:t>.</w:t>
    </w:r>
    <w:r>
      <w:rPr>
        <w:rFonts w:cs="Arial"/>
        <w:sz w:val="22"/>
        <w:szCs w:val="22"/>
      </w:rPr>
      <w:t xml:space="preserve"> </w:t>
    </w:r>
    <w:r w:rsidRPr="00ED3A31">
      <w:rPr>
        <w:rFonts w:cs="Arial"/>
        <w:sz w:val="22"/>
        <w:szCs w:val="22"/>
      </w:rPr>
      <w:t xml:space="preserve"> </w:t>
    </w:r>
    <w:r>
      <w:rPr>
        <w:rFonts w:cs="Arial"/>
        <w:sz w:val="22"/>
        <w:szCs w:val="22"/>
      </w:rPr>
      <w:t xml:space="preserve"> </w:t>
    </w:r>
    <w:r>
      <w:rPr>
        <w:rFonts w:cs="Arial"/>
        <w:sz w:val="22"/>
        <w:szCs w:val="22"/>
      </w:rPr>
      <w:t xml:space="preserve"> </w:t>
    </w:r>
    <w:r w:rsidRPr="00ED3A31">
      <w:rPr>
        <w:rFonts w:cs="Arial"/>
        <w:sz w:val="22"/>
        <w:szCs w:val="22"/>
      </w:rP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CE9" w:rsidRDefault="00626D88">
    <w:pPr>
      <w:pStyle w:val="Encabezado"/>
    </w:pPr>
    <w:r w:rsidRPr="000F5B56">
      <w:rPr>
        <w:noProof/>
        <w:lang w:eastAsia="es-CO" w:bidi="ar-SA"/>
      </w:rPr>
      <w:drawing>
        <wp:anchor distT="0" distB="0" distL="114300" distR="114300" simplePos="0" relativeHeight="251665408" behindDoc="0" locked="0" layoutInCell="1" allowOverlap="1" wp14:anchorId="5133E3A0" wp14:editId="4EB056E1">
          <wp:simplePos x="0" y="0"/>
          <wp:positionH relativeFrom="column">
            <wp:posOffset>-5715</wp:posOffset>
          </wp:positionH>
          <wp:positionV relativeFrom="paragraph">
            <wp:posOffset>-6350</wp:posOffset>
          </wp:positionV>
          <wp:extent cx="5238750" cy="848037"/>
          <wp:effectExtent l="0" t="0" r="0" b="9525"/>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6270" cy="85896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028"/>
    <w:rsid w:val="00035028"/>
    <w:rsid w:val="0006626B"/>
    <w:rsid w:val="00223E4E"/>
    <w:rsid w:val="00312493"/>
    <w:rsid w:val="00626D46"/>
    <w:rsid w:val="00767785"/>
    <w:rsid w:val="00B7592E"/>
    <w:rsid w:val="00CF0B7C"/>
    <w:rsid w:val="00DB45F2"/>
    <w:rsid w:val="00F630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2C242"/>
  <w15:chartTrackingRefBased/>
  <w15:docId w15:val="{12F9A272-3F1A-4AB2-9EB0-C89AED2B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028"/>
    <w:pPr>
      <w:spacing w:after="0" w:line="240" w:lineRule="auto"/>
    </w:pPr>
    <w:rPr>
      <w:rFonts w:ascii="Arial" w:eastAsia="Times New Roman" w:hAnsi="Arial" w:cs="Times New Roman"/>
      <w:sz w:val="24"/>
      <w:szCs w:val="24"/>
      <w:lang w:bidi="he-I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035028"/>
    <w:pPr>
      <w:tabs>
        <w:tab w:val="center" w:pos="4252"/>
        <w:tab w:val="right" w:pos="8504"/>
      </w:tabs>
    </w:pPr>
  </w:style>
  <w:style w:type="character" w:customStyle="1" w:styleId="PiedepginaCar">
    <w:name w:val="Pie de página Car"/>
    <w:basedOn w:val="Fuentedeprrafopredeter"/>
    <w:link w:val="Piedepgina"/>
    <w:uiPriority w:val="99"/>
    <w:rsid w:val="00035028"/>
    <w:rPr>
      <w:rFonts w:ascii="Arial" w:eastAsia="Times New Roman" w:hAnsi="Arial" w:cs="Times New Roman"/>
      <w:sz w:val="24"/>
      <w:szCs w:val="24"/>
      <w:lang w:bidi="he-IL"/>
    </w:rPr>
  </w:style>
  <w:style w:type="character" w:styleId="Nmerodepgina">
    <w:name w:val="page number"/>
    <w:uiPriority w:val="99"/>
    <w:rsid w:val="00035028"/>
    <w:rPr>
      <w:rFonts w:cs="Times New Roman"/>
    </w:rPr>
  </w:style>
  <w:style w:type="paragraph" w:styleId="Encabezado">
    <w:name w:val="header"/>
    <w:basedOn w:val="Normal"/>
    <w:link w:val="EncabezadoCar"/>
    <w:uiPriority w:val="99"/>
    <w:rsid w:val="00035028"/>
    <w:pPr>
      <w:tabs>
        <w:tab w:val="center" w:pos="4252"/>
        <w:tab w:val="right" w:pos="8504"/>
      </w:tabs>
    </w:pPr>
  </w:style>
  <w:style w:type="character" w:customStyle="1" w:styleId="EncabezadoCar">
    <w:name w:val="Encabezado Car"/>
    <w:basedOn w:val="Fuentedeprrafopredeter"/>
    <w:link w:val="Encabezado"/>
    <w:uiPriority w:val="99"/>
    <w:rsid w:val="00035028"/>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B7592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592E"/>
    <w:rPr>
      <w:rFonts w:ascii="Segoe UI" w:eastAsia="Times New Roman" w:hAnsi="Segoe UI" w:cs="Segoe UI"/>
      <w:sz w:val="18"/>
      <w:szCs w:val="18"/>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3572</Words>
  <Characters>19652</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Giovanny Edgardo, Fajardo Jimenez</dc:creator>
  <cp:keywords/>
  <dc:description/>
  <cp:lastModifiedBy>Giovanny Edgardo, Fajardo Jimenez</cp:lastModifiedBy>
  <cp:revision>10</cp:revision>
  <cp:lastPrinted>2025-11-05T14:24:00Z</cp:lastPrinted>
  <dcterms:created xsi:type="dcterms:W3CDTF">2025-11-05T14:08:00Z</dcterms:created>
  <dcterms:modified xsi:type="dcterms:W3CDTF">2025-11-05T14:26:00Z</dcterms:modified>
</cp:coreProperties>
</file>